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45327">
      <w:pPr>
        <w:pStyle w:val="25"/>
        <w:framePr w:wrap="around"/>
        <w:spacing w:line="360" w:lineRule="auto"/>
        <w:ind w:firstLine="0" w:firstLineChars="0"/>
        <w:rPr>
          <w:rFonts w:hint="eastAsia" w:ascii="黑体" w:hAnsi="黑体" w:eastAsia="黑体" w:cs="黑体"/>
          <w:color w:val="auto"/>
          <w:highlight w:val="none"/>
          <w:lang w:val="en-US" w:eastAsia="zh-CN"/>
        </w:rPr>
      </w:pPr>
      <w:r>
        <w:rPr>
          <w:rFonts w:hint="eastAsia" w:hAnsi="黑体" w:cs="黑体"/>
          <w:color w:val="auto"/>
          <w:highlight w:val="none"/>
          <w:lang w:val="en-US" w:eastAsia="zh-CN"/>
        </w:rPr>
        <w:t>I</w:t>
      </w:r>
      <w:r>
        <w:rPr>
          <w:rFonts w:hint="eastAsia" w:ascii="黑体" w:hAnsi="黑体" w:eastAsia="黑体" w:cs="黑体"/>
          <w:color w:val="auto"/>
          <w:highlight w:val="none"/>
        </w:rPr>
        <w:t>CS</w:t>
      </w:r>
      <w:r>
        <w:rPr>
          <w:rFonts w:hint="eastAsia" w:hAnsi="黑体" w:cs="黑体"/>
          <w:color w:val="auto"/>
          <w:highlight w:val="none"/>
          <w:lang w:val="en-US" w:eastAsia="zh-CN"/>
        </w:rPr>
        <w:t xml:space="preserve"> 35.080</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6F14A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854" w:type="dxa"/>
            <w:tcBorders>
              <w:top w:val="nil"/>
              <w:left w:val="nil"/>
              <w:bottom w:val="nil"/>
              <w:right w:val="nil"/>
            </w:tcBorders>
            <w:noWrap w:val="0"/>
            <w:vAlign w:val="top"/>
          </w:tcPr>
          <w:p w14:paraId="3A6AD55C">
            <w:pPr>
              <w:pStyle w:val="25"/>
              <w:framePr w:wrap="around"/>
              <w:spacing w:line="360" w:lineRule="auto"/>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CCS</w:t>
            </w:r>
            <w:r>
              <w:rPr>
                <w:rFonts w:hint="eastAsia" w:hAnsi="黑体" w:cs="黑体"/>
                <w:color w:val="auto"/>
                <w:highlight w:val="none"/>
                <w:lang w:val="en-US" w:eastAsia="zh-CN"/>
              </w:rPr>
              <w:t xml:space="preserve"> </w:t>
            </w:r>
            <w:r>
              <w:rPr>
                <w:rFonts w:hint="eastAsia" w:hAnsi="黑体" w:cs="黑体"/>
                <w:color w:val="auto"/>
                <w:highlight w:val="none"/>
              </w:rPr>
              <w:t>L77</w:t>
            </w:r>
          </w:p>
        </w:tc>
      </w:tr>
    </w:tbl>
    <w:p w14:paraId="305868F6">
      <w:pPr>
        <w:pStyle w:val="23"/>
        <w:framePr w:wrap="around"/>
        <w:shd w:val="clear" w:color="FFFFFF" w:fill="FFFFFF"/>
        <w:spacing w:line="360" w:lineRule="auto"/>
        <w:rPr>
          <w:color w:val="auto"/>
          <w:highlight w:val="none"/>
        </w:rPr>
      </w:pPr>
      <w:r>
        <w:drawing>
          <wp:inline distT="0" distB="0" distL="114300" distR="114300">
            <wp:extent cx="796290" cy="397510"/>
            <wp:effectExtent l="0" t="0" r="11430" b="139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8"/>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cs="Times New Roman"/>
          <w:color w:val="auto"/>
          <w:highlight w:val="none"/>
        </w:rPr>
        <w:t>21</w:t>
      </w:r>
    </w:p>
    <w:p w14:paraId="5FF707C3">
      <w:pPr>
        <w:pStyle w:val="22"/>
        <w:framePr w:wrap="around"/>
        <w:spacing w:line="360" w:lineRule="auto"/>
        <w:rPr>
          <w:color w:val="auto"/>
          <w:highlight w:val="none"/>
        </w:rPr>
      </w:pPr>
      <w:r>
        <w:rPr>
          <w:rFonts w:hint="eastAsia"/>
          <w:color w:val="auto"/>
          <w:highlight w:val="none"/>
        </w:rPr>
        <w:t>辽宁省地方标准</w:t>
      </w:r>
    </w:p>
    <w:p w14:paraId="68730628">
      <w:pPr>
        <w:pStyle w:val="26"/>
        <w:framePr w:wrap="around" w:x="1677" w:y="3060"/>
        <w:spacing w:line="360" w:lineRule="auto"/>
        <w:rPr>
          <w:rFonts w:hint="eastAsia" w:ascii="黑体" w:hAnsi="黑体" w:eastAsia="黑体" w:cs="黑体"/>
          <w:color w:val="auto"/>
          <w:highlight w:val="none"/>
        </w:rPr>
      </w:pPr>
      <w:r>
        <w:rPr>
          <w:rFonts w:hint="eastAsia" w:ascii="黑体" w:hAnsi="黑体" w:eastAsia="黑体" w:cs="黑体"/>
          <w:color w:val="auto"/>
          <w:highlight w:val="none"/>
        </w:rPr>
        <w:t>DB21/TXXXX—XXXX</w:t>
      </w:r>
    </w:p>
    <w:p w14:paraId="5C1D6E05">
      <w:pPr>
        <w:pStyle w:val="26"/>
        <w:framePr w:wrap="around" w:x="1677" w:y="3060"/>
        <w:spacing w:line="360" w:lineRule="auto"/>
        <w:rPr>
          <w:rFonts w:hint="eastAsia" w:ascii="黑体" w:hAnsi="黑体" w:eastAsia="黑体" w:cs="黑体"/>
          <w:color w:val="auto"/>
          <w:highlight w:val="none"/>
        </w:rPr>
      </w:pP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57A78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2B4BF22E">
            <w:pPr>
              <w:pStyle w:val="27"/>
              <w:framePr w:wrap="around" w:x="1677" w:y="3060"/>
              <w:spacing w:line="360" w:lineRule="auto"/>
              <w:rPr>
                <w:color w:val="auto"/>
                <w:highlight w:val="none"/>
              </w:rPr>
            </w:pPr>
          </w:p>
        </w:tc>
      </w:tr>
    </w:tbl>
    <w:p w14:paraId="6E5A7DDE">
      <w:pPr>
        <w:pStyle w:val="26"/>
        <w:framePr w:wrap="around" w:x="1677" w:y="3060"/>
        <w:spacing w:line="360" w:lineRule="auto"/>
        <w:rPr>
          <w:color w:val="auto"/>
          <w:highlight w:val="none"/>
        </w:rPr>
      </w:pPr>
    </w:p>
    <w:p w14:paraId="1922D633">
      <w:pPr>
        <w:pStyle w:val="26"/>
        <w:framePr w:wrap="around" w:x="1677" w:y="3060"/>
        <w:spacing w:line="360" w:lineRule="auto"/>
        <w:rPr>
          <w:color w:val="auto"/>
          <w:highlight w:val="none"/>
        </w:rPr>
      </w:pPr>
    </w:p>
    <w:p w14:paraId="1E40B10E">
      <w:pPr>
        <w:pStyle w:val="28"/>
        <w:framePr w:wrap="around" w:x="1390" w:y="6437"/>
        <w:spacing w:line="360" w:lineRule="auto"/>
        <w:rPr>
          <w:rFonts w:hint="default" w:eastAsia="黑体"/>
          <w:color w:val="auto"/>
          <w:szCs w:val="22"/>
          <w:highlight w:val="none"/>
          <w:lang w:val="en-US" w:eastAsia="zh-CN"/>
        </w:rPr>
      </w:pPr>
      <w:r>
        <w:rPr>
          <w:rFonts w:hint="eastAsia"/>
          <w:color w:val="auto"/>
          <w:szCs w:val="22"/>
          <w:highlight w:val="none"/>
          <w:lang w:val="en-US" w:eastAsia="zh-CN"/>
        </w:rPr>
        <w:t>工业数据流通  数据资产价值评价技术要求</w:t>
      </w:r>
    </w:p>
    <w:p w14:paraId="077C85A4">
      <w:pPr>
        <w:pStyle w:val="30"/>
        <w:framePr w:wrap="around" w:x="1390" w:y="6437"/>
        <w:spacing w:line="360" w:lineRule="auto"/>
        <w:rPr>
          <w:color w:val="auto"/>
          <w:highlight w:val="none"/>
        </w:rPr>
      </w:pPr>
      <w:r>
        <w:rPr>
          <w:rFonts w:hint="eastAsia"/>
          <w:color w:val="auto"/>
          <w:highlight w:val="none"/>
          <w:lang w:val="en-US" w:eastAsia="zh-CN"/>
        </w:rPr>
        <w:t>（征求意见稿</w:t>
      </w:r>
      <w:bookmarkStart w:id="160" w:name="_GoBack"/>
      <w:bookmarkEnd w:id="160"/>
      <w:r>
        <w:rPr>
          <w:rFonts w:hint="eastAsia"/>
          <w:color w:val="auto"/>
          <w:highlight w:val="none"/>
          <w:lang w:val="en-US" w:eastAsia="zh-CN"/>
        </w:rPr>
        <w:t>）</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4D4E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31F300BB">
            <w:pPr>
              <w:pStyle w:val="30"/>
              <w:framePr w:wrap="around" w:x="1390" w:y="6437"/>
              <w:spacing w:line="360" w:lineRule="auto"/>
              <w:rPr>
                <w:color w:val="auto"/>
                <w:highlight w:val="none"/>
              </w:rPr>
            </w:pPr>
          </w:p>
        </w:tc>
      </w:tr>
      <w:tr w14:paraId="1AC47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D62E4CA">
            <w:pPr>
              <w:pStyle w:val="32"/>
              <w:framePr w:wrap="around" w:x="1390" w:y="6437"/>
              <w:spacing w:line="360" w:lineRule="auto"/>
              <w:rPr>
                <w:color w:val="auto"/>
                <w:highlight w:val="none"/>
              </w:rPr>
            </w:pPr>
          </w:p>
        </w:tc>
      </w:tr>
    </w:tbl>
    <w:p w14:paraId="4A4C9F37">
      <w:pPr>
        <w:pStyle w:val="33"/>
        <w:framePr w:wrap="around" w:vAnchor="page" w:hAnchor="page" w:x="1279" w:y="14052"/>
        <w:tabs>
          <w:tab w:val="center" w:pos="1998"/>
        </w:tabs>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1312" behindDoc="0" locked="1" layoutInCell="1" allowOverlap="1">
                <wp:simplePos x="0" y="0"/>
                <wp:positionH relativeFrom="column">
                  <wp:posOffset>3810</wp:posOffset>
                </wp:positionH>
                <wp:positionV relativeFrom="page">
                  <wp:posOffset>-3421380</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3pt;margin-top:-269.4pt;height:0pt;width:481.9pt;mso-position-vertical-relative:page;z-index:251661312;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c1J4dYAAAAKAQAADwAAAAAAAAABACAAAAAiAAAAZHJzL2Rvd25yZXYueG1sUEsBAhQAFAAA&#10;AAgAh07iQJLOpLTxAQAA6AMAAA4AAAAAAAAAAQAgAAAAJQEAAGRycy9lMm9Eb2MueG1sUEsFBgAA&#10;AAAGAAYAWQEAAIgFAAAAAA==&#10;">
                <v:fill on="f" focussize="0,0"/>
                <v:stroke color="#000000" joinstyle="round"/>
                <v:imagedata o:title=""/>
                <o:lock v:ext="edit" aspectratio="f"/>
                <w10:anchorlock/>
              </v:line>
            </w:pict>
          </mc:Fallback>
        </mc:AlternateContent>
      </w:r>
    </w:p>
    <w:p w14:paraId="65A9B444">
      <w:pPr>
        <w:pStyle w:val="35"/>
        <w:framePr w:wrap="around" w:vAnchor="page" w:hAnchor="page" w:x="6820" w:y="14031"/>
        <w:spacing w:line="360" w:lineRule="auto"/>
        <w:rPr>
          <w:color w:val="auto"/>
          <w:highlight w:val="none"/>
        </w:rPr>
      </w:pPr>
      <w:r>
        <w:rPr>
          <w:rFonts w:hint="eastAsia" w:ascii="黑体" w:hAnsi="黑体" w:cs="黑体"/>
          <w:color w:val="auto"/>
          <w:highlight w:val="none"/>
        </w:rPr>
        <w:t>XXXX-XX-XX</w:t>
      </w:r>
      <w:r>
        <w:rPr>
          <w:rFonts w:hint="eastAsia"/>
          <w:color w:val="auto"/>
          <w:highlight w:val="none"/>
        </w:rPr>
        <w:t>实施</w:t>
      </w:r>
    </w:p>
    <w:p w14:paraId="55DADEAA">
      <w:pPr>
        <w:pStyle w:val="37"/>
        <w:framePr w:wrap="around"/>
        <w:spacing w:line="360" w:lineRule="auto"/>
        <w:rPr>
          <w:rFonts w:hAnsi="黑体" w:cs="黑体"/>
          <w:color w:val="auto"/>
          <w:highlight w:val="none"/>
        </w:rPr>
      </w:pPr>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52D18355">
      <w:pPr>
        <w:sectPr>
          <w:headerReference r:id="rId3" w:type="default"/>
          <w:headerReference r:id="rId4" w:type="even"/>
          <w:pgSz w:w="11906" w:h="16838"/>
          <w:pgMar w:top="567" w:right="1134"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column">
                  <wp:posOffset>-88265</wp:posOffset>
                </wp:positionH>
                <wp:positionV relativeFrom="paragraph">
                  <wp:posOffset>8350885</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95pt;margin-top:657.55pt;height:0pt;width:481.9pt;z-index:251660288;mso-width-relative:page;mso-height-relative:page;" filled="f" stroked="t" coordsize="21600,21600" o:gfxdata="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Y2/PX1wAAAA0BAAAPAAAAAAAAAAEAIAAAACIAAABkcnMvZG93bnJldi54bWxQ&#10;SwECFAAUAAAACACHTuJA0VjKmfgBAADyAwAADgAAAAAAAAABACAAAAAmAQAAZHJzL2Uyb0RvYy54&#10;bWxQSwUGAAAAAAYABgBZAQAAkAUAAAAA&#10;">
                <v:fill on="f" focussize="0,0"/>
                <v:stroke color="#000000" joinstyle="round"/>
                <v:imagedata o:title=""/>
                <o:lock v:ext="edit" aspectratio="f"/>
              </v:line>
            </w:pict>
          </mc:Fallback>
        </mc:AlternateContent>
      </w: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1602105</wp:posOffset>
                </wp:positionV>
                <wp:extent cx="6062345" cy="6350"/>
                <wp:effectExtent l="0" t="4445" r="3175" b="12065"/>
                <wp:wrapNone/>
                <wp:docPr id="4" name="直接连接符 4"/>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4.9pt;margin-top:126.15pt;height:0.5pt;width:477.35pt;z-index:251659264;mso-width-relative:page;mso-height-relative:page;" filled="f" stroked="t" coordsize="21600,21600" o:gfxdata="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&#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qXY02QAAAAoBAAAPAAAAAAAAAAEAIAAAACIAAABk&#10;cnMvZG93bnJldi54bWxQSwECFAAUAAAACACHTuJAfnn3rQUCAAD/AwAADgAAAAAAAAABACAAAAAo&#10;AQAAZHJzL2Uyb0RvYy54bWxQSwUGAAAAAAYABgBZAQAAnwUAAAAA&#10;">
                <v:fill on="f" focussize="0,0"/>
                <v:stroke color="#000000" joinstyle="round"/>
                <v:imagedata o:title=""/>
                <o:lock v:ext="edit" aspectratio="f"/>
              </v:line>
            </w:pict>
          </mc:Fallback>
        </mc:AlternateContent>
      </w:r>
    </w:p>
    <w:p w14:paraId="3A78C1AA">
      <w:pPr>
        <w:pStyle w:val="48"/>
        <w:keepNext w:val="0"/>
        <w:keepLines w:val="0"/>
        <w:pageBreakBefore w:val="0"/>
        <w:widowControl w:val="0"/>
        <w:kinsoku/>
        <w:wordWrap/>
        <w:overflowPunct/>
        <w:topLinePunct w:val="0"/>
        <w:autoSpaceDE/>
        <w:autoSpaceDN/>
        <w:bidi w:val="0"/>
        <w:adjustRightInd/>
        <w:snapToGrid/>
        <w:spacing w:before="469" w:beforeLines="150" w:after="468"/>
        <w:textAlignment w:val="auto"/>
      </w:pPr>
      <w:r>
        <w:rPr>
          <w:rFonts w:hint="eastAsia"/>
          <w:spacing w:val="320"/>
        </w:rPr>
        <w:t>目</w:t>
      </w:r>
      <w:r>
        <w:rPr>
          <w:rFonts w:hint="eastAsia"/>
        </w:rPr>
        <w:t>次</w:t>
      </w:r>
    </w:p>
    <w:p w14:paraId="6ED4FD98">
      <w:pPr>
        <w:pStyle w:val="12"/>
        <w:keepNext w:val="0"/>
        <w:keepLines w:val="0"/>
        <w:pageBreakBefore w:val="0"/>
        <w:widowControl w:val="0"/>
        <w:tabs>
          <w:tab w:val="right" w:leader="dot" w:pos="8306"/>
          <w:tab w:val="clear" w:pos="9242"/>
        </w:tabs>
        <w:kinsoku/>
        <w:wordWrap/>
        <w:overflowPunct/>
        <w:topLinePunct w:val="0"/>
        <w:autoSpaceDE/>
        <w:autoSpaceDN/>
        <w:bidi w:val="0"/>
        <w:adjustRightInd/>
        <w:snapToGrid/>
        <w:spacing w:beforeLines="0" w:afterLines="0" w:line="300" w:lineRule="auto"/>
        <w:ind w:left="0" w:leftChars="0"/>
        <w:textAlignment w:val="auto"/>
        <w:rPr>
          <w:rFonts w:hint="eastAsia" w:ascii="宋体" w:hAnsi="宋体" w:eastAsia="宋体" w:cs="宋体"/>
        </w:rPr>
      </w:pP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HYPERLINK \l _Toc17705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前言..................................................................................</w:t>
      </w:r>
      <w:r>
        <w:rPr>
          <w:rFonts w:hint="eastAsia" w:ascii="宋体" w:hAnsi="宋体" w:eastAsia="宋体" w:cs="宋体"/>
          <w:kern w:val="2"/>
          <w:sz w:val="21"/>
          <w:szCs w:val="21"/>
          <w:lang w:val="en-US" w:eastAsia="zh-CN" w:bidi="ar-SA"/>
        </w:rPr>
        <w:fldChar w:fldCharType="end"/>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 3 \* ROMAN \* MERGEFORMAT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rPr>
        <w:t>III</w:t>
      </w:r>
      <w:r>
        <w:rPr>
          <w:rFonts w:hint="eastAsia" w:ascii="宋体" w:hAnsi="宋体" w:eastAsia="宋体" w:cs="宋体"/>
          <w:kern w:val="2"/>
          <w:sz w:val="21"/>
          <w:szCs w:val="21"/>
          <w:lang w:val="en-US" w:eastAsia="zh-CN" w:bidi="ar-SA"/>
        </w:rPr>
        <w:fldChar w:fldCharType="end"/>
      </w:r>
    </w:p>
    <w:p w14:paraId="4E1C05A8">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TOC \o "1-4" \h \u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_Toc7555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cs="宋体"/>
        </w:rPr>
        <w:t>范围</w:t>
      </w:r>
      <w:r>
        <w:rPr>
          <w:rFonts w:hint="eastAsia" w:cs="宋体"/>
        </w:rPr>
        <w:tab/>
      </w:r>
      <w:r>
        <w:rPr>
          <w:rFonts w:hint="eastAsia" w:cs="宋体"/>
        </w:rPr>
        <w:fldChar w:fldCharType="begin"/>
      </w:r>
      <w:r>
        <w:rPr>
          <w:rFonts w:hint="eastAsia" w:cs="宋体"/>
        </w:rPr>
        <w:instrText xml:space="preserve"> PAGEREF _Toc7555 \h </w:instrText>
      </w:r>
      <w:r>
        <w:rPr>
          <w:rFonts w:hint="eastAsia" w:cs="宋体"/>
        </w:rPr>
        <w:fldChar w:fldCharType="separate"/>
      </w:r>
      <w:r>
        <w:rPr>
          <w:rFonts w:hint="eastAsia" w:cs="宋体"/>
        </w:rPr>
        <w:t>1</w:t>
      </w:r>
      <w:r>
        <w:rPr>
          <w:rFonts w:hint="eastAsia" w:cs="宋体"/>
        </w:rPr>
        <w:fldChar w:fldCharType="end"/>
      </w:r>
      <w:r>
        <w:rPr>
          <w:rFonts w:hint="eastAsia" w:ascii="宋体" w:hAnsi="宋体" w:eastAsia="宋体" w:cs="宋体"/>
          <w:lang w:val="en-US" w:eastAsia="zh-CN"/>
        </w:rPr>
        <w:fldChar w:fldCharType="end"/>
      </w:r>
    </w:p>
    <w:p w14:paraId="0B3A7475">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_Toc758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cs="宋体"/>
        </w:rPr>
        <w:t>规范性引用文件</w:t>
      </w:r>
      <w:r>
        <w:rPr>
          <w:rFonts w:hint="eastAsia" w:cs="宋体"/>
        </w:rPr>
        <w:tab/>
      </w:r>
      <w:r>
        <w:rPr>
          <w:rFonts w:hint="eastAsia" w:cs="宋体"/>
        </w:rPr>
        <w:fldChar w:fldCharType="begin"/>
      </w:r>
      <w:r>
        <w:rPr>
          <w:rFonts w:hint="eastAsia" w:cs="宋体"/>
        </w:rPr>
        <w:instrText xml:space="preserve"> PAGEREF _Toc758 \h </w:instrText>
      </w:r>
      <w:r>
        <w:rPr>
          <w:rFonts w:hint="eastAsia" w:cs="宋体"/>
        </w:rPr>
        <w:fldChar w:fldCharType="separate"/>
      </w:r>
      <w:r>
        <w:rPr>
          <w:rFonts w:hint="eastAsia" w:cs="宋体"/>
        </w:rPr>
        <w:t>1</w:t>
      </w:r>
      <w:r>
        <w:rPr>
          <w:rFonts w:hint="eastAsia" w:cs="宋体"/>
        </w:rPr>
        <w:fldChar w:fldCharType="end"/>
      </w:r>
      <w:r>
        <w:rPr>
          <w:rFonts w:hint="eastAsia" w:ascii="宋体" w:hAnsi="宋体" w:eastAsia="宋体" w:cs="宋体"/>
          <w:lang w:val="en-US" w:eastAsia="zh-CN"/>
        </w:rPr>
        <w:fldChar w:fldCharType="end"/>
      </w:r>
    </w:p>
    <w:p w14:paraId="657A5986">
      <w:pPr>
        <w:pStyle w:val="12"/>
        <w:spacing w:line="300" w:lineRule="auto"/>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_Toc17556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lang w:val="en-US" w:eastAsia="zh-CN"/>
        </w:rPr>
        <w:t>..........</w:t>
      </w:r>
      <w:r>
        <w:rPr>
          <w:rFonts w:hint="eastAsia" w:ascii="宋体" w:hAnsi="宋体" w:eastAsia="宋体" w:cs="宋体"/>
        </w:rPr>
        <w:fldChar w:fldCharType="begin"/>
      </w:r>
      <w:r>
        <w:rPr>
          <w:rFonts w:hint="eastAsia" w:ascii="宋体" w:hAnsi="宋体" w:eastAsia="宋体" w:cs="宋体"/>
        </w:rPr>
        <w:instrText xml:space="preserve"> PAGEREF _Toc17556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fldChar w:fldCharType="end"/>
      </w:r>
    </w:p>
    <w:p w14:paraId="3D87614A">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_Toc24678 </w:instrText>
      </w:r>
      <w:r>
        <w:rPr>
          <w:rFonts w:hint="eastAsia" w:ascii="宋体" w:hAnsi="宋体" w:eastAsia="宋体" w:cs="宋体"/>
          <w:lang w:val="en-US" w:eastAsia="zh-CN"/>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cs="宋体"/>
          <w:lang w:val="en-US" w:eastAsia="zh-CN"/>
        </w:rPr>
        <w:t>基本原则</w:t>
      </w:r>
      <w:r>
        <w:rPr>
          <w:rFonts w:hint="eastAsia" w:cs="宋体"/>
        </w:rPr>
        <w:tab/>
      </w:r>
      <w:r>
        <w:rPr>
          <w:rFonts w:hint="eastAsia" w:cs="宋体"/>
        </w:rPr>
        <w:fldChar w:fldCharType="begin"/>
      </w:r>
      <w:r>
        <w:rPr>
          <w:rFonts w:hint="eastAsia" w:cs="宋体"/>
        </w:rPr>
        <w:instrText xml:space="preserve"> PAGEREF _Toc24678 \h </w:instrText>
      </w:r>
      <w:r>
        <w:rPr>
          <w:rFonts w:hint="eastAsia" w:cs="宋体"/>
        </w:rPr>
        <w:fldChar w:fldCharType="separate"/>
      </w:r>
      <w:r>
        <w:rPr>
          <w:rFonts w:hint="eastAsia" w:cs="宋体"/>
        </w:rPr>
        <w:t>1</w:t>
      </w:r>
      <w:r>
        <w:rPr>
          <w:rFonts w:hint="eastAsia" w:cs="宋体"/>
        </w:rPr>
        <w:fldChar w:fldCharType="end"/>
      </w:r>
      <w:r>
        <w:rPr>
          <w:rFonts w:hint="eastAsia" w:ascii="宋体" w:hAnsi="宋体" w:eastAsia="宋体" w:cs="宋体"/>
          <w:lang w:val="en-US" w:eastAsia="zh-CN"/>
        </w:rPr>
        <w:fldChar w:fldCharType="end"/>
      </w:r>
    </w:p>
    <w:p w14:paraId="3E734DE9">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_Toc30837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cs="宋体"/>
          <w:lang w:val="en-US" w:eastAsia="zh-CN"/>
        </w:rPr>
        <w:t>公正性</w:t>
      </w:r>
      <w:r>
        <w:rPr>
          <w:rFonts w:hint="eastAsia" w:cs="宋体"/>
        </w:rPr>
        <w:tab/>
      </w:r>
      <w:r>
        <w:rPr>
          <w:rFonts w:hint="eastAsia" w:cs="宋体"/>
        </w:rPr>
        <w:fldChar w:fldCharType="begin"/>
      </w:r>
      <w:r>
        <w:rPr>
          <w:rFonts w:hint="eastAsia" w:cs="宋体"/>
        </w:rPr>
        <w:instrText xml:space="preserve"> PAGEREF _Toc30837 \h </w:instrText>
      </w:r>
      <w:r>
        <w:rPr>
          <w:rFonts w:hint="eastAsia" w:cs="宋体"/>
        </w:rPr>
        <w:fldChar w:fldCharType="separate"/>
      </w:r>
      <w:r>
        <w:rPr>
          <w:rFonts w:hint="eastAsia" w:cs="宋体"/>
        </w:rPr>
        <w:t>1</w:t>
      </w:r>
      <w:r>
        <w:rPr>
          <w:rFonts w:hint="eastAsia" w:cs="宋体"/>
        </w:rPr>
        <w:fldChar w:fldCharType="end"/>
      </w:r>
      <w:r>
        <w:rPr>
          <w:rFonts w:hint="eastAsia" w:ascii="宋体" w:hAnsi="宋体" w:eastAsia="宋体" w:cs="宋体"/>
          <w:lang w:val="en-US" w:eastAsia="zh-CN"/>
        </w:rPr>
        <w:fldChar w:fldCharType="end"/>
      </w:r>
    </w:p>
    <w:p w14:paraId="4F62AA74">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_Toc2800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4.2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cs="宋体"/>
          <w:lang w:val="en-US" w:eastAsia="zh-CN"/>
        </w:rPr>
        <w:t>专业性</w:t>
      </w:r>
      <w:r>
        <w:rPr>
          <w:rFonts w:hint="eastAsia" w:cs="宋体"/>
        </w:rPr>
        <w:tab/>
      </w:r>
      <w:r>
        <w:rPr>
          <w:rFonts w:hint="eastAsia" w:cs="宋体"/>
        </w:rPr>
        <w:fldChar w:fldCharType="begin"/>
      </w:r>
      <w:r>
        <w:rPr>
          <w:rFonts w:hint="eastAsia" w:cs="宋体"/>
        </w:rPr>
        <w:instrText xml:space="preserve"> PAGEREF _Toc2800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4DCE20A1">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_Toc9403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rPr>
        <w:t xml:space="preserve">4.3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 </w:t>
      </w:r>
      <w:r>
        <w:rPr>
          <w:rFonts w:hint="eastAsia" w:cs="宋体"/>
          <w:lang w:val="en-US" w:eastAsia="zh-CN"/>
        </w:rPr>
        <w:t>开放性</w:t>
      </w:r>
      <w:r>
        <w:rPr>
          <w:rFonts w:hint="eastAsia" w:cs="宋体"/>
        </w:rPr>
        <w:tab/>
      </w:r>
      <w:r>
        <w:rPr>
          <w:rFonts w:hint="eastAsia" w:cs="宋体"/>
        </w:rPr>
        <w:fldChar w:fldCharType="begin"/>
      </w:r>
      <w:r>
        <w:rPr>
          <w:rFonts w:hint="eastAsia" w:cs="宋体"/>
        </w:rPr>
        <w:instrText xml:space="preserve"> PAGEREF _Toc9403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075DF464">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4.4  </w:t>
      </w:r>
      <w:r>
        <w:rPr>
          <w:rFonts w:hint="eastAsia" w:cs="宋体"/>
          <w:lang w:val="en-US" w:eastAsia="zh-CN"/>
        </w:rPr>
        <w:t>合理性</w:t>
      </w:r>
      <w:r>
        <w:rPr>
          <w:rFonts w:hint="eastAsia" w:cs="宋体"/>
        </w:rPr>
        <w:tab/>
      </w:r>
      <w:r>
        <w:rPr>
          <w:rFonts w:hint="eastAsia" w:cs="宋体"/>
        </w:rPr>
        <w:fldChar w:fldCharType="begin"/>
      </w:r>
      <w:r>
        <w:rPr>
          <w:rFonts w:hint="eastAsia" w:cs="宋体"/>
        </w:rPr>
        <w:instrText xml:space="preserve"> PAGEREF _Toc20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00398CBB">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_Toc24200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4.5  </w:t>
      </w:r>
      <w:r>
        <w:rPr>
          <w:rFonts w:hint="eastAsia" w:cs="宋体"/>
          <w:lang w:val="en-US" w:eastAsia="zh-CN"/>
        </w:rPr>
        <w:t>保密性</w:t>
      </w:r>
      <w:r>
        <w:rPr>
          <w:rFonts w:hint="eastAsia" w:cs="宋体"/>
        </w:rPr>
        <w:tab/>
      </w:r>
      <w:r>
        <w:rPr>
          <w:rFonts w:hint="eastAsia" w:cs="宋体"/>
        </w:rPr>
        <w:fldChar w:fldCharType="begin"/>
      </w:r>
      <w:r>
        <w:rPr>
          <w:rFonts w:hint="eastAsia" w:cs="宋体"/>
        </w:rPr>
        <w:instrText xml:space="preserve"> PAGEREF _Toc24200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7E964DD9">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_Toc29088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5  </w:t>
      </w:r>
      <w:r>
        <w:rPr>
          <w:rFonts w:hint="eastAsia" w:cs="宋体"/>
          <w:lang w:val="en-US" w:eastAsia="zh-CN"/>
        </w:rPr>
        <w:t>确定评价对象</w:t>
      </w:r>
      <w:r>
        <w:rPr>
          <w:rFonts w:hint="eastAsia" w:cs="宋体"/>
        </w:rPr>
        <w:tab/>
      </w:r>
      <w:r>
        <w:rPr>
          <w:rFonts w:hint="eastAsia" w:cs="宋体"/>
        </w:rPr>
        <w:fldChar w:fldCharType="begin"/>
      </w:r>
      <w:r>
        <w:rPr>
          <w:rFonts w:hint="eastAsia" w:cs="宋体"/>
        </w:rPr>
        <w:instrText xml:space="preserve"> PAGEREF _Toc29088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699B62B8">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_Toc27953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6  </w:t>
      </w:r>
      <w:r>
        <w:rPr>
          <w:rFonts w:hint="eastAsia" w:cs="宋体"/>
          <w:lang w:val="en-US" w:eastAsia="zh-CN"/>
        </w:rPr>
        <w:t>数据收集</w:t>
      </w:r>
      <w:r>
        <w:rPr>
          <w:rFonts w:hint="eastAsia" w:cs="宋体"/>
        </w:rPr>
        <w:tab/>
      </w:r>
      <w:r>
        <w:rPr>
          <w:rFonts w:hint="eastAsia" w:cs="宋体"/>
        </w:rPr>
        <w:fldChar w:fldCharType="begin"/>
      </w:r>
      <w:r>
        <w:rPr>
          <w:rFonts w:hint="eastAsia" w:cs="宋体"/>
        </w:rPr>
        <w:instrText xml:space="preserve"> PAGEREF _Toc27953 \h </w:instrText>
      </w:r>
      <w:r>
        <w:rPr>
          <w:rFonts w:hint="eastAsia" w:cs="宋体"/>
        </w:rPr>
        <w:fldChar w:fldCharType="separate"/>
      </w:r>
      <w:r>
        <w:rPr>
          <w:rFonts w:hint="eastAsia" w:cs="宋体"/>
        </w:rPr>
        <w:t>2</w:t>
      </w:r>
      <w:r>
        <w:rPr>
          <w:rFonts w:hint="eastAsia" w:cs="宋体"/>
        </w:rPr>
        <w:fldChar w:fldCharType="end"/>
      </w:r>
      <w:r>
        <w:rPr>
          <w:rFonts w:hint="eastAsia" w:ascii="宋体" w:hAnsi="宋体" w:eastAsia="宋体" w:cs="宋体"/>
          <w:lang w:val="en-US" w:eastAsia="zh-CN"/>
        </w:rPr>
        <w:fldChar w:fldCharType="end"/>
      </w:r>
    </w:p>
    <w:p w14:paraId="4F776B0A">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_Toc23393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7  </w:t>
      </w:r>
      <w:r>
        <w:rPr>
          <w:rFonts w:hint="eastAsia" w:cs="宋体"/>
          <w:lang w:val="en-US" w:eastAsia="zh-CN"/>
        </w:rPr>
        <w:t>数据分类</w:t>
      </w:r>
      <w:r>
        <w:rPr>
          <w:rFonts w:hint="eastAsia" w:cs="宋体"/>
        </w:rPr>
        <w:tab/>
      </w:r>
      <w:r>
        <w:rPr>
          <w:rFonts w:hint="eastAsia" w:cs="宋体"/>
        </w:rPr>
        <w:fldChar w:fldCharType="begin"/>
      </w:r>
      <w:r>
        <w:rPr>
          <w:rFonts w:hint="eastAsia" w:cs="宋体"/>
        </w:rPr>
        <w:instrText xml:space="preserve"> PAGEREF _Toc23393 \h </w:instrText>
      </w:r>
      <w:r>
        <w:rPr>
          <w:rFonts w:hint="eastAsia" w:cs="宋体"/>
        </w:rPr>
        <w:fldChar w:fldCharType="separate"/>
      </w:r>
      <w:r>
        <w:rPr>
          <w:rFonts w:hint="eastAsia" w:cs="宋体"/>
        </w:rPr>
        <w:t>3</w:t>
      </w:r>
      <w:r>
        <w:rPr>
          <w:rFonts w:hint="eastAsia" w:cs="宋体"/>
        </w:rPr>
        <w:fldChar w:fldCharType="end"/>
      </w:r>
      <w:r>
        <w:rPr>
          <w:rFonts w:hint="eastAsia" w:ascii="宋体" w:hAnsi="宋体" w:eastAsia="宋体" w:cs="宋体"/>
          <w:lang w:val="en-US" w:eastAsia="zh-CN"/>
        </w:rPr>
        <w:fldChar w:fldCharType="end"/>
      </w:r>
    </w:p>
    <w:p w14:paraId="55DDA473">
      <w:pPr>
        <w:pStyle w:val="12"/>
        <w:tabs>
          <w:tab w:val="right" w:leader="dot" w:pos="9355"/>
          <w:tab w:val="clear" w:pos="9242"/>
        </w:tabs>
        <w:spacing w:line="300" w:lineRule="auto"/>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_Toc12244 </w:instrText>
      </w:r>
      <w:r>
        <w:rPr>
          <w:rFonts w:hint="eastAsia" w:ascii="宋体" w:hAnsi="宋体" w:eastAsia="宋体" w:cs="宋体"/>
          <w:lang w:val="en-US" w:eastAsia="zh-CN"/>
        </w:rPr>
        <w:fldChar w:fldCharType="separate"/>
      </w:r>
      <w:r>
        <w:rPr>
          <w:rFonts w:hint="eastAsia" w:ascii="宋体" w:hAnsi="宋体" w:eastAsia="宋体" w:cs="宋体"/>
          <w:i w:val="0"/>
          <w:szCs w:val="21"/>
          <w:lang w:val="en-US" w:eastAsia="zh-CN"/>
        </w:rPr>
        <w:t xml:space="preserve">8  </w:t>
      </w:r>
      <w:r>
        <w:rPr>
          <w:rFonts w:hint="eastAsia" w:cs="宋体"/>
          <w:lang w:val="en-US" w:eastAsia="zh-CN"/>
        </w:rPr>
        <w:t>评价方法选择</w:t>
      </w:r>
      <w:r>
        <w:rPr>
          <w:rFonts w:hint="eastAsia" w:cs="宋体"/>
        </w:rPr>
        <w:tab/>
      </w:r>
      <w:r>
        <w:rPr>
          <w:rFonts w:hint="eastAsia" w:cs="宋体"/>
        </w:rPr>
        <w:fldChar w:fldCharType="begin"/>
      </w:r>
      <w:r>
        <w:rPr>
          <w:rFonts w:hint="eastAsia" w:cs="宋体"/>
        </w:rPr>
        <w:instrText xml:space="preserve"> PAGEREF _Toc12244 \h </w:instrText>
      </w:r>
      <w:r>
        <w:rPr>
          <w:rFonts w:hint="eastAsia" w:cs="宋体"/>
        </w:rPr>
        <w:fldChar w:fldCharType="separate"/>
      </w:r>
      <w:r>
        <w:rPr>
          <w:rFonts w:hint="eastAsia" w:cs="宋体"/>
        </w:rPr>
        <w:t>3</w:t>
      </w:r>
      <w:r>
        <w:rPr>
          <w:rFonts w:hint="eastAsia" w:cs="宋体"/>
        </w:rPr>
        <w:fldChar w:fldCharType="end"/>
      </w:r>
      <w:r>
        <w:rPr>
          <w:rFonts w:hint="eastAsia" w:ascii="宋体" w:hAnsi="宋体" w:eastAsia="宋体" w:cs="宋体"/>
          <w:lang w:val="en-US" w:eastAsia="zh-CN"/>
        </w:rPr>
        <w:fldChar w:fldCharType="end"/>
      </w:r>
    </w:p>
    <w:p w14:paraId="1C73B341">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_Toc20580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8.1  </w:t>
      </w:r>
      <w:r>
        <w:rPr>
          <w:rFonts w:hint="eastAsia" w:cs="宋体"/>
          <w:lang w:val="en-US" w:eastAsia="zh-CN"/>
        </w:rPr>
        <w:t>市场法</w:t>
      </w:r>
      <w:r>
        <w:rPr>
          <w:rFonts w:hint="eastAsia" w:cs="宋体"/>
        </w:rPr>
        <w:tab/>
      </w:r>
      <w:r>
        <w:rPr>
          <w:rFonts w:hint="eastAsia" w:cs="宋体"/>
        </w:rPr>
        <w:fldChar w:fldCharType="begin"/>
      </w:r>
      <w:r>
        <w:rPr>
          <w:rFonts w:hint="eastAsia" w:cs="宋体"/>
        </w:rPr>
        <w:instrText xml:space="preserve"> PAGEREF _Toc20580 \h </w:instrText>
      </w:r>
      <w:r>
        <w:rPr>
          <w:rFonts w:hint="eastAsia" w:cs="宋体"/>
        </w:rPr>
        <w:fldChar w:fldCharType="separate"/>
      </w:r>
      <w:r>
        <w:rPr>
          <w:rFonts w:hint="eastAsia" w:cs="宋体"/>
        </w:rPr>
        <w:t>3</w:t>
      </w:r>
      <w:r>
        <w:rPr>
          <w:rFonts w:hint="eastAsia" w:cs="宋体"/>
        </w:rPr>
        <w:fldChar w:fldCharType="end"/>
      </w:r>
      <w:r>
        <w:rPr>
          <w:rFonts w:hint="eastAsia" w:ascii="宋体" w:hAnsi="宋体" w:eastAsia="宋体" w:cs="宋体"/>
          <w:lang w:val="en-US" w:eastAsia="zh-CN"/>
        </w:rPr>
        <w:fldChar w:fldCharType="end"/>
      </w:r>
    </w:p>
    <w:p w14:paraId="6B356083">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_Toc25639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8.2  </w:t>
      </w:r>
      <w:r>
        <w:rPr>
          <w:rFonts w:hint="eastAsia" w:cs="宋体"/>
          <w:lang w:val="en-US" w:eastAsia="zh-CN"/>
        </w:rPr>
        <w:t>收益法</w:t>
      </w:r>
      <w:r>
        <w:rPr>
          <w:rFonts w:hint="eastAsia" w:cs="宋体"/>
        </w:rPr>
        <w:tab/>
      </w:r>
      <w:r>
        <w:rPr>
          <w:rFonts w:hint="eastAsia" w:cs="宋体"/>
        </w:rPr>
        <w:fldChar w:fldCharType="begin"/>
      </w:r>
      <w:r>
        <w:rPr>
          <w:rFonts w:hint="eastAsia" w:cs="宋体"/>
        </w:rPr>
        <w:instrText xml:space="preserve"> PAGEREF _Toc25639 \h </w:instrText>
      </w:r>
      <w:r>
        <w:rPr>
          <w:rFonts w:hint="eastAsia" w:cs="宋体"/>
        </w:rPr>
        <w:fldChar w:fldCharType="separate"/>
      </w:r>
      <w:r>
        <w:rPr>
          <w:rFonts w:hint="eastAsia" w:cs="宋体"/>
        </w:rPr>
        <w:t>3</w:t>
      </w:r>
      <w:r>
        <w:rPr>
          <w:rFonts w:hint="eastAsia" w:cs="宋体"/>
        </w:rPr>
        <w:fldChar w:fldCharType="end"/>
      </w:r>
      <w:r>
        <w:rPr>
          <w:rFonts w:hint="eastAsia" w:ascii="宋体" w:hAnsi="宋体" w:eastAsia="宋体" w:cs="宋体"/>
          <w:lang w:val="en-US" w:eastAsia="zh-CN"/>
        </w:rPr>
        <w:fldChar w:fldCharType="end"/>
      </w:r>
    </w:p>
    <w:p w14:paraId="7A962FCF">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_Toc158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8.3  </w:t>
      </w:r>
      <w:r>
        <w:rPr>
          <w:rFonts w:hint="eastAsia" w:cs="宋体"/>
          <w:lang w:val="en-US" w:eastAsia="zh-CN"/>
        </w:rPr>
        <w:t>成本法</w:t>
      </w:r>
      <w:r>
        <w:rPr>
          <w:rFonts w:hint="eastAsia" w:cs="宋体"/>
        </w:rPr>
        <w:tab/>
      </w:r>
      <w:r>
        <w:rPr>
          <w:rFonts w:hint="eastAsia" w:cs="宋体"/>
        </w:rPr>
        <w:fldChar w:fldCharType="begin"/>
      </w:r>
      <w:r>
        <w:rPr>
          <w:rFonts w:hint="eastAsia" w:cs="宋体"/>
        </w:rPr>
        <w:instrText xml:space="preserve"> PAGEREF _Toc158 \h </w:instrText>
      </w:r>
      <w:r>
        <w:rPr>
          <w:rFonts w:hint="eastAsia" w:cs="宋体"/>
        </w:rPr>
        <w:fldChar w:fldCharType="separate"/>
      </w:r>
      <w:r>
        <w:rPr>
          <w:rFonts w:hint="eastAsia" w:cs="宋体"/>
        </w:rPr>
        <w:t>4</w:t>
      </w:r>
      <w:r>
        <w:rPr>
          <w:rFonts w:hint="eastAsia" w:cs="宋体"/>
        </w:rPr>
        <w:fldChar w:fldCharType="end"/>
      </w:r>
      <w:r>
        <w:rPr>
          <w:rFonts w:hint="eastAsia" w:ascii="宋体" w:hAnsi="宋体" w:eastAsia="宋体" w:cs="宋体"/>
          <w:lang w:val="en-US" w:eastAsia="zh-CN"/>
        </w:rPr>
        <w:fldChar w:fldCharType="end"/>
      </w:r>
    </w:p>
    <w:p w14:paraId="08A33A9E">
      <w:pPr>
        <w:pStyle w:val="7"/>
        <w:tabs>
          <w:tab w:val="right" w:leader="dot" w:pos="9355"/>
        </w:tabs>
        <w:spacing w:line="300" w:lineRule="auto"/>
        <w:ind w:left="210" w:leftChars="10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_Toc32002 </w:instrText>
      </w:r>
      <w:r>
        <w:rPr>
          <w:rFonts w:hint="eastAsia" w:ascii="宋体" w:hAnsi="宋体" w:eastAsia="宋体" w:cs="宋体"/>
          <w:lang w:val="en-US" w:eastAsia="zh-CN"/>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8.4  </w:t>
      </w:r>
      <w:r>
        <w:rPr>
          <w:rFonts w:hint="eastAsia" w:cs="宋体"/>
          <w:lang w:val="en-US" w:eastAsia="zh-CN"/>
        </w:rPr>
        <w:t>综合评价法</w:t>
      </w:r>
      <w:r>
        <w:rPr>
          <w:rFonts w:hint="eastAsia" w:cs="宋体"/>
        </w:rPr>
        <w:tab/>
      </w:r>
      <w:r>
        <w:rPr>
          <w:rFonts w:hint="eastAsia" w:cs="宋体"/>
        </w:rPr>
        <w:fldChar w:fldCharType="begin"/>
      </w:r>
      <w:r>
        <w:rPr>
          <w:rFonts w:hint="eastAsia" w:cs="宋体"/>
        </w:rPr>
        <w:instrText xml:space="preserve"> PAGEREF _Toc32002 \h </w:instrText>
      </w:r>
      <w:r>
        <w:rPr>
          <w:rFonts w:hint="eastAsia" w:cs="宋体"/>
        </w:rPr>
        <w:fldChar w:fldCharType="separate"/>
      </w:r>
      <w:r>
        <w:rPr>
          <w:rFonts w:hint="eastAsia" w:cs="宋体"/>
        </w:rPr>
        <w:t>5</w:t>
      </w:r>
      <w:r>
        <w:rPr>
          <w:rFonts w:hint="eastAsia" w:cs="宋体"/>
        </w:rPr>
        <w:fldChar w:fldCharType="end"/>
      </w:r>
      <w:r>
        <w:rPr>
          <w:rFonts w:hint="eastAsia" w:ascii="宋体" w:hAnsi="宋体" w:eastAsia="宋体" w:cs="宋体"/>
          <w:lang w:val="en-US" w:eastAsia="zh-CN"/>
        </w:rPr>
        <w:fldChar w:fldCharType="end"/>
      </w:r>
    </w:p>
    <w:p w14:paraId="38AFD308">
      <w:pPr>
        <w:pStyle w:val="7"/>
        <w:tabs>
          <w:tab w:val="right" w:leader="dot" w:pos="9355"/>
        </w:tabs>
        <w:spacing w:line="300" w:lineRule="auto"/>
        <w:ind w:left="0" w:leftChars="0"/>
        <w:rPr>
          <w:rFonts w:hint="eastAsia"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_Toc27211 </w:instrText>
      </w:r>
      <w:r>
        <w:rPr>
          <w:rFonts w:hint="eastAsia" w:ascii="宋体" w:hAnsi="宋体" w:eastAsia="宋体" w:cs="宋体"/>
          <w:lang w:val="en-US" w:eastAsia="zh-CN"/>
        </w:rPr>
        <w:fldChar w:fldCharType="separate"/>
      </w:r>
      <w:r>
        <w:rPr>
          <w:rFonts w:hint="eastAsia" w:cs="宋体"/>
          <w:lang w:val="en-US" w:eastAsia="zh-CN"/>
        </w:rPr>
        <w:t>参考文献</w:t>
      </w:r>
      <w:r>
        <w:rPr>
          <w:rFonts w:hint="eastAsia" w:cs="宋体"/>
        </w:rPr>
        <w:tab/>
      </w:r>
      <w:r>
        <w:rPr>
          <w:rFonts w:hint="eastAsia" w:cs="宋体"/>
        </w:rPr>
        <w:fldChar w:fldCharType="begin"/>
      </w:r>
      <w:r>
        <w:rPr>
          <w:rFonts w:hint="eastAsia" w:cs="宋体"/>
        </w:rPr>
        <w:instrText xml:space="preserve"> PAGEREF _Toc27211 \h </w:instrText>
      </w:r>
      <w:r>
        <w:rPr>
          <w:rFonts w:hint="eastAsia" w:cs="宋体"/>
        </w:rPr>
        <w:fldChar w:fldCharType="separate"/>
      </w:r>
      <w:r>
        <w:rPr>
          <w:rFonts w:hint="eastAsia" w:cs="宋体"/>
        </w:rPr>
        <w:t>6</w:t>
      </w:r>
      <w:r>
        <w:rPr>
          <w:rFonts w:hint="eastAsia" w:cs="宋体"/>
        </w:rPr>
        <w:fldChar w:fldCharType="end"/>
      </w:r>
      <w:r>
        <w:rPr>
          <w:rFonts w:hint="eastAsia" w:ascii="宋体" w:hAnsi="宋体" w:eastAsia="宋体" w:cs="宋体"/>
          <w:lang w:val="en-US" w:eastAsia="zh-CN"/>
        </w:rPr>
        <w:fldChar w:fldCharType="end"/>
      </w:r>
    </w:p>
    <w:p w14:paraId="277CFFB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eastAsia="宋体"/>
          <w:lang w:val="en-US" w:eastAsia="zh-CN"/>
        </w:rPr>
        <w:sectPr>
          <w:headerReference r:id="rId5" w:type="default"/>
          <w:footerReference r:id="rId7" w:type="default"/>
          <w:headerReference r:id="rId6" w:type="even"/>
          <w:footerReference r:id="rId8" w:type="even"/>
          <w:pgSz w:w="11906" w:h="16838"/>
          <w:pgMar w:top="1417" w:right="1134" w:bottom="1134" w:left="141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ascii="宋体" w:hAnsi="宋体" w:eastAsia="宋体" w:cs="宋体"/>
          <w:lang w:val="en-US" w:eastAsia="zh-CN"/>
        </w:rPr>
        <w:fldChar w:fldCharType="end"/>
      </w:r>
    </w:p>
    <w:p w14:paraId="2C596F7A">
      <w:pPr>
        <w:pStyle w:val="12"/>
        <w:tabs>
          <w:tab w:val="right" w:leader="dot" w:pos="9355"/>
          <w:tab w:val="clear" w:pos="9242"/>
        </w:tabs>
        <w:jc w:val="center"/>
        <w:rPr>
          <w:rFonts w:hint="eastAsia" w:ascii="黑体" w:hAnsi="黑体" w:eastAsia="黑体" w:cs="黑体"/>
          <w:sz w:val="32"/>
          <w:szCs w:val="32"/>
        </w:rPr>
      </w:pPr>
      <w:r>
        <w:rPr>
          <w:rFonts w:hint="eastAsia" w:ascii="黑体" w:hAnsi="黑体" w:eastAsia="黑体" w:cs="黑体"/>
          <w:sz w:val="32"/>
          <w:szCs w:val="32"/>
        </w:rPr>
        <w:t>前</w:t>
      </w:r>
      <w:bookmarkStart w:id="0" w:name="BKQY"/>
      <w:r>
        <w:rPr>
          <w:rFonts w:hint="eastAsia" w:ascii="黑体" w:hAnsi="黑体" w:eastAsia="黑体" w:cs="黑体"/>
          <w:sz w:val="32"/>
          <w:szCs w:val="32"/>
        </w:rPr>
        <w:t>  言</w:t>
      </w:r>
      <w:bookmarkEnd w:id="0"/>
    </w:p>
    <w:p w14:paraId="40EE3D42">
      <w:pPr>
        <w:pStyle w:val="17"/>
        <w:rPr>
          <w:rFonts w:hint="eastAsia" w:ascii="宋体" w:hAnsi="宋体" w:eastAsia="宋体" w:cs="宋体"/>
        </w:rPr>
      </w:pPr>
      <w:r>
        <w:rPr>
          <w:rFonts w:hint="eastAsia" w:ascii="宋体" w:hAnsi="宋体" w:eastAsia="宋体" w:cs="宋体"/>
        </w:rPr>
        <w:t>本文件按照GB/T</w:t>
      </w:r>
      <w:r>
        <w:rPr>
          <w:rFonts w:hint="eastAsia" w:ascii="宋体" w:hAnsi="宋体" w:eastAsia="宋体" w:cs="宋体"/>
          <w:lang w:val="en-US" w:eastAsia="zh-CN"/>
        </w:rPr>
        <w:t xml:space="preserve"> 1.1</w:t>
      </w:r>
      <w:r>
        <w:rPr>
          <w:rFonts w:hint="eastAsia" w:ascii="宋体" w:hAnsi="宋体" w:eastAsia="宋体" w:cs="宋体"/>
        </w:rPr>
        <w:t>-2020《标准化工作导则 第1部分：标准化文件的结构和起草规则》的规</w:t>
      </w:r>
      <w:r>
        <w:rPr>
          <w:rFonts w:hint="eastAsia" w:ascii="宋体" w:hAnsi="宋体" w:eastAsia="宋体" w:cs="宋体"/>
          <w:lang w:val="en-US"/>
        </w:rPr>
        <w:t>定</w:t>
      </w:r>
      <w:r>
        <w:rPr>
          <w:rFonts w:hint="eastAsia" w:ascii="宋体" w:hAnsi="宋体" w:eastAsia="宋体" w:cs="宋体"/>
        </w:rPr>
        <w:t>起草。</w:t>
      </w:r>
    </w:p>
    <w:p w14:paraId="45296F84">
      <w:pPr>
        <w:pStyle w:val="17"/>
        <w:rPr>
          <w:rFonts w:hint="default" w:ascii="宋体" w:hAnsi="宋体" w:eastAsia="宋体" w:cs="宋体"/>
          <w:lang w:val="en-US" w:eastAsia="zh-CN"/>
        </w:rPr>
      </w:pPr>
      <w:r>
        <w:rPr>
          <w:rFonts w:hint="eastAsia" w:hAnsi="宋体" w:cs="宋体"/>
          <w:lang w:val="en-US" w:eastAsia="zh-CN"/>
        </w:rPr>
        <w:t>请注意本文件的某些内容可能涉及专利。本文件的发布机构不承担识别专利的责任。</w:t>
      </w:r>
    </w:p>
    <w:p w14:paraId="7272B2A9">
      <w:pPr>
        <w:pStyle w:val="17"/>
        <w:rPr>
          <w:rFonts w:hint="eastAsia" w:ascii="宋体" w:hAnsi="宋体" w:eastAsia="宋体" w:cs="宋体"/>
        </w:rPr>
      </w:pPr>
      <w:r>
        <w:rPr>
          <w:rFonts w:hint="eastAsia" w:ascii="宋体" w:hAnsi="宋体" w:eastAsia="宋体" w:cs="宋体"/>
        </w:rPr>
        <w:t>本文件由</w:t>
      </w:r>
      <w:r>
        <w:rPr>
          <w:rFonts w:hint="eastAsia" w:hAnsi="宋体"/>
          <w:lang w:val="en-US" w:eastAsia="zh-CN"/>
        </w:rPr>
        <w:t>辽宁省工业和信息化厅</w:t>
      </w:r>
      <w:r>
        <w:rPr>
          <w:rFonts w:hint="eastAsia" w:ascii="宋体" w:hAnsi="宋体" w:eastAsia="宋体" w:cs="宋体"/>
        </w:rPr>
        <w:t>提出</w:t>
      </w:r>
      <w:r>
        <w:rPr>
          <w:rFonts w:hint="eastAsia" w:hAnsi="宋体" w:cs="宋体"/>
          <w:lang w:val="en-US" w:eastAsia="zh-CN"/>
        </w:rPr>
        <w:t>并归口</w:t>
      </w:r>
      <w:r>
        <w:rPr>
          <w:rFonts w:hint="eastAsia" w:ascii="宋体" w:hAnsi="宋体" w:eastAsia="宋体" w:cs="宋体"/>
        </w:rPr>
        <w:t>。</w:t>
      </w:r>
    </w:p>
    <w:p w14:paraId="449A6E73">
      <w:pPr>
        <w:pStyle w:val="17"/>
        <w:rPr>
          <w:rFonts w:hint="eastAsia" w:hAnsi="宋体" w:cs="宋体"/>
          <w:lang w:val="en-US" w:eastAsia="zh-CN"/>
        </w:rPr>
      </w:pPr>
      <w:r>
        <w:rPr>
          <w:rFonts w:hint="eastAsia" w:ascii="宋体" w:hAnsi="宋体" w:eastAsia="宋体" w:cs="宋体"/>
        </w:rPr>
        <w:t>本文件起草单位</w:t>
      </w:r>
      <w:r>
        <w:rPr>
          <w:rFonts w:hint="eastAsia" w:hAnsi="宋体" w:cs="宋体"/>
          <w:lang w:eastAsia="zh-CN"/>
        </w:rPr>
        <w:t>：</w:t>
      </w:r>
      <w:r>
        <w:rPr>
          <w:rFonts w:hint="eastAsia" w:hAnsi="宋体" w:cs="宋体"/>
          <w:lang w:val="en-US" w:eastAsia="zh-CN"/>
        </w:rPr>
        <w:t>沈阳华睿博信息技术有限公司等。</w:t>
      </w:r>
    </w:p>
    <w:p w14:paraId="06CF14B1">
      <w:pPr>
        <w:pStyle w:val="17"/>
        <w:rPr>
          <w:rFonts w:hint="default" w:ascii="宋体" w:hAnsi="宋体" w:eastAsia="宋体" w:cs="宋体"/>
          <w:lang w:val="en-US" w:eastAsia="zh-CN"/>
        </w:rPr>
      </w:pPr>
      <w:r>
        <w:rPr>
          <w:rFonts w:hint="eastAsia" w:ascii="宋体" w:hAnsi="宋体" w:eastAsia="宋体" w:cs="宋体"/>
        </w:rPr>
        <w:t>本文件主要起草人：</w:t>
      </w:r>
      <w:r>
        <w:rPr>
          <w:rFonts w:hint="eastAsia" w:hAnsi="宋体" w:cs="宋体"/>
          <w:lang w:val="en-US" w:eastAsia="zh-CN"/>
        </w:rPr>
        <w:t>邵华等。</w:t>
      </w:r>
    </w:p>
    <w:p w14:paraId="50BAE44D">
      <w:pPr>
        <w:pStyle w:val="17"/>
        <w:rPr>
          <w:rFonts w:hint="eastAsia" w:ascii="宋体" w:hAnsi="宋体" w:eastAsia="宋体" w:cs="宋体"/>
        </w:rPr>
      </w:pPr>
      <w:r>
        <w:rPr>
          <w:rFonts w:hint="eastAsia" w:ascii="宋体" w:hAnsi="宋体" w:eastAsia="宋体" w:cs="宋体"/>
        </w:rPr>
        <w:t>本文件发布实施后，任何单位和个人如有问题和意见建议，均可以通过来电和来函等方式进行反馈，我们将及时答复并认真处理，根据实际情况依法进行评估及复审。</w:t>
      </w:r>
    </w:p>
    <w:p w14:paraId="23EAEE1C">
      <w:pPr>
        <w:pStyle w:val="17"/>
        <w:rPr>
          <w:rFonts w:hint="eastAsia" w:ascii="宋体" w:hAnsi="宋体" w:eastAsia="宋体" w:cs="宋体"/>
        </w:rPr>
      </w:pPr>
      <w:r>
        <w:rPr>
          <w:rFonts w:hint="eastAsia" w:ascii="宋体" w:hAnsi="宋体" w:eastAsia="宋体" w:cs="宋体"/>
        </w:rPr>
        <w:t>归口管理部门通信地址：辽宁省沈阳市皇姑区北陵大街45-2号。</w:t>
      </w:r>
    </w:p>
    <w:p w14:paraId="60821F39">
      <w:pPr>
        <w:pStyle w:val="17"/>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1D4D15BE">
      <w:pPr>
        <w:pStyle w:val="17"/>
        <w:rPr>
          <w:rFonts w:hint="eastAsia" w:ascii="宋体" w:hAnsi="宋体" w:eastAsia="宋体" w:cs="宋体"/>
        </w:rPr>
      </w:pPr>
      <w:r>
        <w:rPr>
          <w:rFonts w:hint="eastAsia" w:ascii="宋体" w:hAnsi="宋体" w:eastAsia="宋体" w:cs="宋体"/>
        </w:rPr>
        <w:t>标准起草单位通讯地址：辽宁</w:t>
      </w:r>
      <w:r>
        <w:rPr>
          <w:rFonts w:hint="eastAsia" w:ascii="宋体" w:hAnsi="宋体" w:eastAsia="宋体" w:cs="宋体"/>
          <w:szCs w:val="22"/>
        </w:rPr>
        <w:t>省</w:t>
      </w:r>
      <w:r>
        <w:rPr>
          <w:rFonts w:hint="eastAsia" w:ascii="宋体" w:hAnsi="宋体" w:eastAsia="宋体" w:cs="宋体"/>
          <w:szCs w:val="22"/>
          <w:lang w:val="en-US" w:eastAsia="zh-CN"/>
        </w:rPr>
        <w:t>沈阳市</w:t>
      </w:r>
      <w:r>
        <w:rPr>
          <w:rFonts w:hint="eastAsia" w:hAnsi="宋体" w:cs="宋体"/>
          <w:szCs w:val="22"/>
          <w:lang w:val="en-US" w:eastAsia="zh-CN"/>
        </w:rPr>
        <w:t>和平区青年大街386号华阳国际大厦2396</w:t>
      </w:r>
      <w:r>
        <w:rPr>
          <w:rFonts w:hint="eastAsia" w:ascii="宋体" w:hAnsi="宋体" w:eastAsia="宋体" w:cs="宋体"/>
        </w:rPr>
        <w:t>。</w:t>
      </w:r>
    </w:p>
    <w:p w14:paraId="49DC33B2">
      <w:pPr>
        <w:pStyle w:val="17"/>
        <w:rPr>
          <w:szCs w:val="22"/>
        </w:rPr>
        <w:sectPr>
          <w:headerReference r:id="rId9" w:type="default"/>
          <w:footerReference r:id="rId11" w:type="default"/>
          <w:headerReference r:id="rId10" w:type="even"/>
          <w:footerReference r:id="rId12"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3"/>
          <w:cols w:space="720" w:num="1"/>
          <w:formProt w:val="0"/>
          <w:docGrid w:type="lines" w:linePitch="312" w:charSpace="0"/>
        </w:sectPr>
      </w:pPr>
      <w:r>
        <w:rPr>
          <w:rFonts w:hint="eastAsia" w:ascii="宋体" w:hAnsi="宋体" w:eastAsia="宋体" w:cs="宋体"/>
        </w:rPr>
        <w:t>标准起草单位联系电话：</w:t>
      </w:r>
      <w:r>
        <w:rPr>
          <w:rFonts w:hint="eastAsia" w:hAnsi="宋体" w:cs="宋体"/>
          <w:lang w:val="en-US" w:eastAsia="zh-CN"/>
        </w:rPr>
        <w:t>18698849086</w:t>
      </w:r>
      <w:r>
        <w:rPr>
          <w:rFonts w:hint="eastAsia" w:ascii="宋体" w:hAnsi="宋体" w:eastAsia="宋体" w:cs="宋体"/>
        </w:rPr>
        <w:t>。</w:t>
      </w:r>
    </w:p>
    <w:p w14:paraId="3FEB2B49">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工业数据流通  数据资产价值评价技术要求</w:t>
      </w:r>
    </w:p>
    <w:p w14:paraId="598E39BE">
      <w:pPr>
        <w:pStyle w:val="16"/>
        <w:spacing w:before="312" w:after="312"/>
      </w:pPr>
      <w:bookmarkStart w:id="1" w:name="_Toc28049"/>
      <w:bookmarkStart w:id="2" w:name="_Toc15358"/>
      <w:bookmarkStart w:id="3" w:name="_Toc7555"/>
      <w:bookmarkStart w:id="4" w:name="_Toc1753"/>
      <w:bookmarkStart w:id="5" w:name="_Toc2662"/>
      <w:bookmarkStart w:id="6" w:name="_Toc15340"/>
      <w:bookmarkStart w:id="7" w:name="_Toc30340"/>
      <w:bookmarkStart w:id="8" w:name="_Toc30899"/>
      <w:bookmarkStart w:id="9" w:name="_Toc21437"/>
      <w:bookmarkStart w:id="10" w:name="_Toc30235"/>
      <w:bookmarkStart w:id="11" w:name="_Toc14983"/>
      <w:bookmarkStart w:id="12" w:name="_Toc12448"/>
      <w:bookmarkStart w:id="13" w:name="_Toc23807"/>
      <w:bookmarkStart w:id="14" w:name="_Toc13382"/>
      <w:bookmarkStart w:id="15" w:name="_Toc13848"/>
      <w:r>
        <w:rPr>
          <w:rFonts w:hint="eastAsia"/>
        </w:rPr>
        <w:t>范围</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07AC1F09">
      <w:pPr>
        <w:pStyle w:val="17"/>
        <w:rPr>
          <w:rFonts w:hint="eastAsia"/>
          <w:szCs w:val="21"/>
          <w:highlight w:val="none"/>
          <w:lang w:val="en-US" w:eastAsia="zh-CN"/>
        </w:rPr>
      </w:pPr>
      <w:r>
        <w:rPr>
          <w:rFonts w:hint="eastAsia"/>
          <w:szCs w:val="21"/>
          <w:highlight w:val="none"/>
          <w:lang w:val="en-US" w:eastAsia="zh-CN"/>
        </w:rPr>
        <w:t>本文件明确了工业数据资产价值评价的基本原则、确定评价对象、数据收集、数据分类和价值识别、评价方法选择等相关要求。</w:t>
      </w:r>
    </w:p>
    <w:p w14:paraId="18AE2535">
      <w:pPr>
        <w:pStyle w:val="17"/>
        <w:rPr>
          <w:rFonts w:hint="default" w:eastAsia="宋体"/>
          <w:szCs w:val="21"/>
          <w:highlight w:val="none"/>
          <w:lang w:val="en-US" w:eastAsia="zh-CN"/>
        </w:rPr>
      </w:pPr>
      <w:r>
        <w:rPr>
          <w:rFonts w:hint="eastAsia"/>
          <w:szCs w:val="21"/>
          <w:highlight w:val="none"/>
          <w:lang w:val="en-US" w:eastAsia="zh-CN"/>
        </w:rPr>
        <w:t>本文件适用于工业数据流通过程中的数据资产价值评价工作。</w:t>
      </w:r>
    </w:p>
    <w:p w14:paraId="00DBFA32">
      <w:pPr>
        <w:pStyle w:val="16"/>
        <w:spacing w:before="312" w:after="312"/>
      </w:pPr>
      <w:bookmarkStart w:id="16" w:name="_Toc17506"/>
      <w:bookmarkStart w:id="17" w:name="_Toc16965"/>
      <w:bookmarkStart w:id="18" w:name="_Toc10575"/>
      <w:bookmarkStart w:id="19" w:name="_Toc5546"/>
      <w:bookmarkStart w:id="20" w:name="_Toc4372"/>
      <w:bookmarkStart w:id="21" w:name="_Toc25908"/>
      <w:bookmarkStart w:id="22" w:name="_Toc13501"/>
      <w:bookmarkStart w:id="23" w:name="_Toc758"/>
      <w:bookmarkStart w:id="24" w:name="_Toc5529"/>
      <w:bookmarkStart w:id="25" w:name="_Toc21298"/>
      <w:bookmarkStart w:id="26" w:name="_Toc32684"/>
      <w:bookmarkStart w:id="27" w:name="_Toc26322"/>
      <w:bookmarkStart w:id="28" w:name="_Toc28726"/>
      <w:bookmarkStart w:id="29" w:name="_Toc9011"/>
      <w:bookmarkStart w:id="30" w:name="_Toc969"/>
      <w:r>
        <w:rPr>
          <w:rFonts w:hint="eastAsia"/>
        </w:rPr>
        <w:t>规范性引用文件</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180788F">
      <w:pPr>
        <w:pStyle w:val="17"/>
        <w:rPr>
          <w:rFonts w:hint="eastAsia"/>
          <w:lang w:val="en-US" w:eastAsia="zh-C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02EB286">
      <w:pPr>
        <w:pStyle w:val="17"/>
        <w:rPr>
          <w:rFonts w:hint="default"/>
          <w:lang w:val="en-US" w:eastAsia="zh-CN"/>
        </w:rPr>
      </w:pPr>
      <w:r>
        <w:rPr>
          <w:rFonts w:hint="eastAsia"/>
          <w:lang w:val="en-US" w:eastAsia="zh-CN"/>
        </w:rPr>
        <w:t>GB/T 40685-2021  信息技术服务  数据资产  管理要求</w:t>
      </w:r>
    </w:p>
    <w:p w14:paraId="722941C0">
      <w:pPr>
        <w:pStyle w:val="17"/>
        <w:rPr>
          <w:rFonts w:hint="eastAsia"/>
          <w:lang w:val="en-US" w:eastAsia="zh-CN"/>
        </w:rPr>
      </w:pPr>
      <w:r>
        <w:rPr>
          <w:rFonts w:hint="eastAsia"/>
          <w:lang w:val="en-US" w:eastAsia="zh-CN"/>
        </w:rPr>
        <w:t>GB/T 42128-2022  智能制造  工业数据  分类原则</w:t>
      </w:r>
    </w:p>
    <w:p w14:paraId="306E7FE5">
      <w:pPr>
        <w:pStyle w:val="17"/>
        <w:rPr>
          <w:rFonts w:hint="default"/>
          <w:lang w:val="en-US" w:eastAsia="zh-CN"/>
        </w:rPr>
      </w:pPr>
      <w:r>
        <w:rPr>
          <w:rFonts w:hint="default"/>
          <w:lang w:val="en-US" w:eastAsia="zh-CN"/>
        </w:rPr>
        <w:t>DB21/T 3867-2023</w:t>
      </w:r>
      <w:r>
        <w:rPr>
          <w:rFonts w:hint="eastAsia"/>
          <w:lang w:val="en-US" w:eastAsia="zh-CN"/>
        </w:rPr>
        <w:t xml:space="preserve">  工业数据分类分级管理指南</w:t>
      </w:r>
    </w:p>
    <w:p w14:paraId="7E3A8C2F">
      <w:pPr>
        <w:pStyle w:val="16"/>
        <w:spacing w:before="312" w:after="312"/>
      </w:pPr>
      <w:bookmarkStart w:id="31" w:name="_Toc32127"/>
      <w:bookmarkStart w:id="32" w:name="_Toc21133"/>
      <w:bookmarkStart w:id="33" w:name="_Toc26159"/>
      <w:bookmarkStart w:id="34" w:name="_Toc11012"/>
      <w:bookmarkStart w:id="35" w:name="_Toc9104"/>
      <w:bookmarkStart w:id="36" w:name="_Toc12695"/>
      <w:bookmarkStart w:id="37" w:name="_Toc17556"/>
      <w:bookmarkStart w:id="38" w:name="_Toc810"/>
      <w:bookmarkStart w:id="39" w:name="_Toc24065"/>
      <w:bookmarkStart w:id="40" w:name="_Toc22600"/>
      <w:bookmarkStart w:id="41" w:name="_Toc6828"/>
      <w:bookmarkStart w:id="42" w:name="_Toc5294"/>
      <w:bookmarkStart w:id="43" w:name="_Toc8985"/>
      <w:bookmarkStart w:id="44" w:name="_Toc2297"/>
      <w:bookmarkStart w:id="45" w:name="_Toc28001"/>
      <w:bookmarkStart w:id="46" w:name="_Toc420509188"/>
      <w:bookmarkStart w:id="47" w:name="_Toc420509244"/>
      <w:r>
        <w:rPr>
          <w:rFonts w:hint="eastAsia"/>
        </w:rPr>
        <w:t>术语和定义</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1D859D5">
      <w:pPr>
        <w:pStyle w:val="17"/>
        <w:rPr>
          <w:rFonts w:hAnsi="宋体"/>
        </w:rPr>
      </w:pPr>
      <w:r>
        <w:rPr>
          <w:rFonts w:hAnsi="宋体"/>
        </w:rPr>
        <w:t>下列术语和定义适用于本</w:t>
      </w:r>
      <w:r>
        <w:rPr>
          <w:rFonts w:hint="eastAsia" w:hAnsi="宋体"/>
        </w:rPr>
        <w:t>文件。</w:t>
      </w:r>
    </w:p>
    <w:p w14:paraId="3B0E28FF">
      <w:pPr>
        <w:pStyle w:val="18"/>
        <w:spacing w:before="156" w:after="156"/>
      </w:pPr>
      <w:bookmarkStart w:id="48" w:name="_Toc11248"/>
      <w:bookmarkEnd w:id="48"/>
      <w:bookmarkStart w:id="49" w:name="_Toc17337"/>
      <w:bookmarkEnd w:id="49"/>
      <w:bookmarkStart w:id="50" w:name="_Toc12270"/>
      <w:bookmarkEnd w:id="50"/>
      <w:bookmarkStart w:id="51" w:name="_Toc14980"/>
      <w:bookmarkEnd w:id="51"/>
      <w:bookmarkStart w:id="52" w:name="_Toc5219"/>
      <w:bookmarkEnd w:id="52"/>
      <w:bookmarkStart w:id="53" w:name="_Toc22065"/>
      <w:bookmarkEnd w:id="53"/>
      <w:bookmarkStart w:id="54" w:name="_Toc1258"/>
      <w:bookmarkEnd w:id="54"/>
      <w:bookmarkStart w:id="55" w:name="_Toc26201"/>
      <w:bookmarkEnd w:id="55"/>
      <w:bookmarkStart w:id="56" w:name="_Toc11898"/>
      <w:bookmarkEnd w:id="56"/>
      <w:bookmarkStart w:id="57" w:name="_Toc420509189"/>
      <w:bookmarkEnd w:id="57"/>
      <w:bookmarkStart w:id="58" w:name="_Toc5862"/>
      <w:bookmarkEnd w:id="58"/>
      <w:bookmarkStart w:id="59" w:name="_Toc29340"/>
      <w:bookmarkEnd w:id="59"/>
      <w:bookmarkStart w:id="60" w:name="_Toc3181"/>
      <w:bookmarkEnd w:id="60"/>
      <w:bookmarkStart w:id="61" w:name="_Toc11884"/>
      <w:bookmarkEnd w:id="61"/>
      <w:bookmarkStart w:id="62" w:name="_Toc20550"/>
      <w:bookmarkEnd w:id="62"/>
      <w:bookmarkStart w:id="63" w:name="_Toc27648"/>
      <w:bookmarkEnd w:id="63"/>
      <w:bookmarkStart w:id="64" w:name="_Toc13265"/>
      <w:bookmarkEnd w:id="64"/>
      <w:bookmarkStart w:id="65" w:name="_Toc10404"/>
      <w:bookmarkEnd w:id="65"/>
      <w:bookmarkStart w:id="66" w:name="_Toc30584"/>
      <w:bookmarkEnd w:id="66"/>
      <w:bookmarkStart w:id="67" w:name="_Toc18012"/>
      <w:bookmarkEnd w:id="67"/>
      <w:bookmarkStart w:id="68" w:name="_Toc6349"/>
      <w:bookmarkEnd w:id="68"/>
      <w:bookmarkStart w:id="69" w:name="_Toc5131"/>
      <w:bookmarkEnd w:id="69"/>
      <w:bookmarkStart w:id="70" w:name="_Toc10953"/>
      <w:bookmarkEnd w:id="70"/>
      <w:bookmarkStart w:id="71" w:name="_Toc17341"/>
      <w:bookmarkEnd w:id="71"/>
      <w:bookmarkStart w:id="72" w:name="_Toc30917"/>
      <w:bookmarkEnd w:id="72"/>
      <w:bookmarkStart w:id="73" w:name="_Toc25440"/>
      <w:bookmarkEnd w:id="73"/>
      <w:bookmarkStart w:id="74" w:name="_Toc11808"/>
      <w:bookmarkEnd w:id="74"/>
      <w:bookmarkStart w:id="75" w:name="_Toc20309"/>
      <w:bookmarkEnd w:id="75"/>
      <w:bookmarkStart w:id="76" w:name="_Toc23493"/>
      <w:bookmarkEnd w:id="76"/>
      <w:bookmarkStart w:id="77" w:name="_Toc14381"/>
      <w:bookmarkEnd w:id="77"/>
      <w:bookmarkStart w:id="78" w:name="_Toc30781"/>
      <w:bookmarkEnd w:id="78"/>
      <w:bookmarkStart w:id="79" w:name="_Toc420509245"/>
      <w:bookmarkEnd w:id="79"/>
      <w:bookmarkStart w:id="80" w:name="_Toc16784"/>
      <w:bookmarkEnd w:id="80"/>
    </w:p>
    <w:p w14:paraId="3A5055A4">
      <w:pPr>
        <w:widowControl w:val="0"/>
        <w:autoSpaceDE/>
        <w:autoSpaceDN/>
        <w:ind w:firstLine="420" w:firstLineChars="200"/>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工业数据  industrial data</w:t>
      </w:r>
    </w:p>
    <w:p w14:paraId="2D8ED5F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在工业领域中，涉及企业的所有生产活动和服务所产生的数据。</w:t>
      </w:r>
    </w:p>
    <w:p w14:paraId="5FAA21D7">
      <w:pPr>
        <w:bidi w:val="0"/>
        <w:ind w:firstLine="420" w:firstLineChars="200"/>
        <w:rPr>
          <w:rFonts w:hint="eastAsia"/>
          <w:lang w:val="en-US" w:eastAsia="zh-CN"/>
        </w:rPr>
      </w:pPr>
      <w:r>
        <w:rPr>
          <w:rFonts w:hint="eastAsia"/>
          <w:lang w:val="en-US" w:eastAsia="zh-CN"/>
        </w:rPr>
        <w:t>[来源:GB/T 42128-2022，3.1.1]</w:t>
      </w:r>
    </w:p>
    <w:p w14:paraId="74EEB267">
      <w:pPr>
        <w:pStyle w:val="18"/>
        <w:spacing w:before="156" w:after="156"/>
      </w:pPr>
      <w:bookmarkStart w:id="81" w:name="_Toc2111"/>
      <w:bookmarkEnd w:id="81"/>
      <w:bookmarkStart w:id="82" w:name="_Toc22484"/>
      <w:bookmarkEnd w:id="82"/>
    </w:p>
    <w:p w14:paraId="10C5D93C">
      <w:pPr>
        <w:widowControl w:val="0"/>
        <w:autoSpaceDE/>
        <w:autoSpaceDN/>
        <w:ind w:firstLine="420" w:firstLineChars="200"/>
        <w:rPr>
          <w:rFonts w:hint="default" w:ascii="黑体" w:hAnsi="黑体" w:eastAsia="黑体" w:cs="黑体"/>
          <w:sz w:val="21"/>
          <w:szCs w:val="21"/>
          <w:lang w:val="en-US" w:eastAsia="zh-CN"/>
        </w:rPr>
      </w:pPr>
      <w:bookmarkStart w:id="83" w:name="_Toc27285"/>
      <w:bookmarkEnd w:id="83"/>
      <w:bookmarkStart w:id="84" w:name="_Toc24605"/>
      <w:bookmarkEnd w:id="84"/>
      <w:bookmarkStart w:id="85" w:name="_Toc28241"/>
      <w:bookmarkEnd w:id="85"/>
      <w:bookmarkStart w:id="86" w:name="_Toc7677"/>
      <w:bookmarkEnd w:id="86"/>
      <w:bookmarkStart w:id="87" w:name="_Toc11306"/>
      <w:bookmarkEnd w:id="87"/>
      <w:bookmarkStart w:id="88" w:name="_Toc29716"/>
      <w:bookmarkEnd w:id="88"/>
      <w:r>
        <w:rPr>
          <w:rFonts w:hint="eastAsia" w:ascii="黑体" w:hAnsi="黑体" w:eastAsia="黑体" w:cs="黑体"/>
          <w:sz w:val="21"/>
          <w:szCs w:val="21"/>
          <w:lang w:val="en-US" w:eastAsia="zh-CN"/>
        </w:rPr>
        <w:t>数据资产  data asset</w:t>
      </w:r>
    </w:p>
    <w:p w14:paraId="38CB7FE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合法拥有或者控制的，能进行计算的，为组织带来经济和社会价值的数据资源。</w:t>
      </w:r>
      <w:bookmarkStart w:id="89" w:name="_Toc28880"/>
      <w:bookmarkEnd w:id="89"/>
    </w:p>
    <w:p w14:paraId="0BA6246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[来源：GB/T 40685-2021]</w:t>
      </w:r>
    </w:p>
    <w:p w14:paraId="4D483B24">
      <w:pPr>
        <w:pStyle w:val="18"/>
        <w:spacing w:before="156" w:after="156"/>
      </w:pPr>
      <w:bookmarkStart w:id="90" w:name="_Toc25377"/>
      <w:bookmarkEnd w:id="90"/>
      <w:bookmarkStart w:id="91" w:name="_Toc1386"/>
      <w:bookmarkEnd w:id="91"/>
      <w:bookmarkStart w:id="92" w:name="_Toc3682"/>
      <w:bookmarkEnd w:id="92"/>
      <w:bookmarkStart w:id="93" w:name="_Toc23623"/>
      <w:bookmarkEnd w:id="93"/>
      <w:bookmarkStart w:id="94" w:name="_Toc10522"/>
      <w:bookmarkEnd w:id="94"/>
      <w:bookmarkStart w:id="95" w:name="_Toc15478"/>
    </w:p>
    <w:p w14:paraId="4FBBA18E">
      <w:pPr>
        <w:widowControl w:val="0"/>
        <w:autoSpaceDE/>
        <w:autoSpaceDN/>
        <w:ind w:firstLine="420" w:firstLineChars="200"/>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数据价值变现  realizing the value of data</w:t>
      </w:r>
    </w:p>
    <w:p w14:paraId="0FA56BE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通过数据资产价值评价，将其转化为实际的商业价值或经济利益的过程。</w:t>
      </w:r>
    </w:p>
    <w:p w14:paraId="618C91CF">
      <w:pPr>
        <w:pStyle w:val="18"/>
        <w:spacing w:before="156" w:after="156"/>
      </w:pPr>
      <w:bookmarkStart w:id="96" w:name="_Toc7779"/>
      <w:bookmarkEnd w:id="96"/>
      <w:bookmarkStart w:id="97" w:name="_Toc14280"/>
      <w:bookmarkEnd w:id="97"/>
      <w:bookmarkStart w:id="98" w:name="_Toc14890"/>
      <w:bookmarkEnd w:id="98"/>
    </w:p>
    <w:p w14:paraId="6328E9C8">
      <w:pPr>
        <w:widowControl w:val="0"/>
        <w:autoSpaceDE/>
        <w:autoSpaceDN/>
        <w:ind w:firstLine="420" w:firstLineChars="200"/>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数据价值反馈  data value feedback</w:t>
      </w:r>
    </w:p>
    <w:p w14:paraId="532B6DF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在数据资产价值被评价后，将所得结果反馈到相关业务流程或决策中，以实现数据价值的最大化。</w:t>
      </w:r>
    </w:p>
    <w:p w14:paraId="14B9468F">
      <w:pPr>
        <w:pStyle w:val="16"/>
        <w:bidi w:val="0"/>
        <w:rPr>
          <w:rFonts w:hint="eastAsia"/>
        </w:rPr>
      </w:pPr>
      <w:bookmarkStart w:id="99" w:name="_Toc23546"/>
      <w:bookmarkStart w:id="100" w:name="_Toc24678"/>
      <w:r>
        <w:rPr>
          <w:rFonts w:hint="eastAsia"/>
          <w:lang w:val="en-US" w:eastAsia="zh-CN"/>
        </w:rPr>
        <w:t>基本原则</w:t>
      </w:r>
      <w:bookmarkEnd w:id="99"/>
      <w:bookmarkEnd w:id="100"/>
    </w:p>
    <w:p w14:paraId="5A63564B">
      <w:pPr>
        <w:pStyle w:val="18"/>
        <w:bidi w:val="0"/>
        <w:rPr>
          <w:rFonts w:hint="eastAsia"/>
        </w:rPr>
      </w:pPr>
      <w:bookmarkStart w:id="101" w:name="_Toc3219"/>
      <w:bookmarkStart w:id="102" w:name="_Toc30837"/>
      <w:bookmarkStart w:id="103" w:name="_Toc13563"/>
      <w:r>
        <w:rPr>
          <w:rFonts w:hint="eastAsia"/>
          <w:lang w:val="en-US" w:eastAsia="zh-CN"/>
        </w:rPr>
        <w:t>公正性</w:t>
      </w:r>
      <w:bookmarkEnd w:id="101"/>
      <w:bookmarkEnd w:id="102"/>
      <w:bookmarkEnd w:id="103"/>
    </w:p>
    <w:p w14:paraId="17B6001D">
      <w:pPr>
        <w:pStyle w:val="17"/>
        <w:rPr>
          <w:rFonts w:hint="eastAsia"/>
        </w:rPr>
      </w:pPr>
      <w:r>
        <w:rPr>
          <w:rFonts w:hint="eastAsia"/>
        </w:rPr>
        <w:t>应</w:t>
      </w:r>
      <w:r>
        <w:rPr>
          <w:rFonts w:hint="eastAsia"/>
          <w:lang w:val="en-US" w:eastAsia="zh-CN"/>
        </w:rPr>
        <w:t>对数据资产价值</w:t>
      </w:r>
      <w:r>
        <w:rPr>
          <w:rFonts w:hint="eastAsia"/>
        </w:rPr>
        <w:t>进行</w:t>
      </w:r>
      <w:r>
        <w:rPr>
          <w:rFonts w:hint="eastAsia"/>
          <w:lang w:val="en-US" w:eastAsia="zh-CN"/>
        </w:rPr>
        <w:t>独立</w:t>
      </w:r>
      <w:r>
        <w:rPr>
          <w:rFonts w:hint="eastAsia"/>
        </w:rPr>
        <w:t>分析和估算，拒绝委托人或者其他相关当事人的干预，不得直接以预先设定的价值作为</w:t>
      </w:r>
      <w:r>
        <w:rPr>
          <w:rFonts w:hint="eastAsia"/>
          <w:lang w:val="en-US" w:eastAsia="zh-CN"/>
        </w:rPr>
        <w:t>评价</w:t>
      </w:r>
      <w:r>
        <w:rPr>
          <w:rFonts w:hint="eastAsia"/>
        </w:rPr>
        <w:t>结论。</w:t>
      </w:r>
    </w:p>
    <w:p w14:paraId="19AAC4D7">
      <w:pPr>
        <w:pStyle w:val="18"/>
        <w:bidi w:val="0"/>
        <w:rPr>
          <w:rFonts w:hint="eastAsia"/>
        </w:rPr>
      </w:pPr>
      <w:bookmarkStart w:id="104" w:name="_Toc8026"/>
      <w:bookmarkStart w:id="105" w:name="_Toc7649"/>
      <w:bookmarkStart w:id="106" w:name="_Toc2800"/>
      <w:r>
        <w:rPr>
          <w:rFonts w:hint="eastAsia"/>
          <w:lang w:val="en-US" w:eastAsia="zh-CN"/>
        </w:rPr>
        <w:t>专业性</w:t>
      </w:r>
      <w:bookmarkEnd w:id="104"/>
      <w:bookmarkEnd w:id="105"/>
      <w:bookmarkEnd w:id="106"/>
    </w:p>
    <w:p w14:paraId="129ECCFE">
      <w:pPr>
        <w:pStyle w:val="17"/>
        <w:rPr>
          <w:rFonts w:hint="eastAsia"/>
        </w:rPr>
      </w:pPr>
      <w:r>
        <w:rPr>
          <w:rFonts w:hint="eastAsia"/>
        </w:rPr>
        <w:t>应当具备数据资产</w:t>
      </w:r>
      <w:r>
        <w:rPr>
          <w:rFonts w:hint="eastAsia"/>
          <w:lang w:eastAsia="zh-CN"/>
        </w:rPr>
        <w:t>评价</w:t>
      </w:r>
      <w:r>
        <w:rPr>
          <w:rFonts w:hint="eastAsia"/>
        </w:rPr>
        <w:t>的专业知识和实践经验，能够胜任所执行的数据资产</w:t>
      </w:r>
      <w:r>
        <w:rPr>
          <w:rFonts w:hint="eastAsia"/>
          <w:lang w:val="en-US" w:eastAsia="zh-CN"/>
        </w:rPr>
        <w:t>评价</w:t>
      </w:r>
      <w:r>
        <w:rPr>
          <w:rFonts w:hint="eastAsia"/>
        </w:rPr>
        <w:t>业务。</w:t>
      </w:r>
    </w:p>
    <w:p w14:paraId="6CA6FAD2">
      <w:pPr>
        <w:pStyle w:val="18"/>
        <w:bidi w:val="0"/>
        <w:rPr>
          <w:rFonts w:hint="eastAsia"/>
        </w:rPr>
      </w:pPr>
      <w:bookmarkStart w:id="107" w:name="_Toc9403"/>
      <w:bookmarkStart w:id="108" w:name="_Toc1343"/>
      <w:bookmarkStart w:id="109" w:name="_Toc20129"/>
      <w:r>
        <w:rPr>
          <w:rFonts w:hint="eastAsia"/>
          <w:lang w:val="en-US" w:eastAsia="zh-CN"/>
        </w:rPr>
        <w:t>开放性</w:t>
      </w:r>
      <w:bookmarkEnd w:id="107"/>
      <w:bookmarkEnd w:id="108"/>
      <w:bookmarkEnd w:id="109"/>
    </w:p>
    <w:p w14:paraId="60049E13">
      <w:pPr>
        <w:pStyle w:val="17"/>
        <w:rPr>
          <w:rFonts w:hint="eastAsia"/>
        </w:rPr>
      </w:pPr>
      <w:r>
        <w:rPr>
          <w:rFonts w:hint="eastAsia"/>
        </w:rPr>
        <w:t>数据</w:t>
      </w:r>
      <w:r>
        <w:rPr>
          <w:rFonts w:hint="eastAsia"/>
          <w:lang w:val="en-US" w:eastAsia="zh-CN"/>
        </w:rPr>
        <w:t>资产</w:t>
      </w:r>
      <w:r>
        <w:rPr>
          <w:rFonts w:hint="eastAsia"/>
        </w:rPr>
        <w:t>价值</w:t>
      </w:r>
      <w:r>
        <w:rPr>
          <w:rFonts w:hint="eastAsia"/>
          <w:lang w:eastAsia="zh-CN"/>
        </w:rPr>
        <w:t>评价</w:t>
      </w:r>
      <w:r>
        <w:rPr>
          <w:rFonts w:hint="eastAsia"/>
          <w:lang w:val="en-US" w:eastAsia="zh-CN"/>
        </w:rPr>
        <w:t>应</w:t>
      </w:r>
      <w:r>
        <w:rPr>
          <w:rFonts w:hint="eastAsia"/>
        </w:rPr>
        <w:t>对符合交易条件的各相关方开放，在遵守法律法规的基础上，信息披露</w:t>
      </w:r>
      <w:r>
        <w:rPr>
          <w:rFonts w:hint="eastAsia"/>
          <w:lang w:val="en-US" w:eastAsia="zh-CN"/>
        </w:rPr>
        <w:t>应</w:t>
      </w:r>
      <w:r>
        <w:rPr>
          <w:rFonts w:hint="eastAsia"/>
        </w:rPr>
        <w:t>及时、准确、完整。</w:t>
      </w:r>
    </w:p>
    <w:p w14:paraId="7E3F3D16">
      <w:pPr>
        <w:pStyle w:val="18"/>
        <w:bidi w:val="0"/>
        <w:rPr>
          <w:rFonts w:hint="eastAsia"/>
          <w:lang w:val="en-US" w:eastAsia="zh-CN"/>
        </w:rPr>
      </w:pPr>
      <w:bookmarkStart w:id="110" w:name="_Toc5396"/>
      <w:bookmarkStart w:id="111" w:name="_Toc20"/>
      <w:bookmarkStart w:id="112" w:name="_Toc9589"/>
      <w:r>
        <w:rPr>
          <w:rFonts w:hint="eastAsia"/>
          <w:lang w:val="en-US" w:eastAsia="zh-CN"/>
        </w:rPr>
        <w:t>合理性</w:t>
      </w:r>
      <w:bookmarkEnd w:id="110"/>
      <w:bookmarkEnd w:id="111"/>
      <w:bookmarkEnd w:id="112"/>
    </w:p>
    <w:p w14:paraId="6453EF54">
      <w:pPr>
        <w:pStyle w:val="17"/>
        <w:rPr>
          <w:rFonts w:hint="eastAsia"/>
          <w:lang w:val="en-US" w:eastAsia="zh-CN"/>
        </w:rPr>
      </w:pPr>
      <w:r>
        <w:rPr>
          <w:rFonts w:hint="eastAsia"/>
          <w:lang w:val="en-US" w:eastAsia="zh-CN"/>
        </w:rPr>
        <w:t>数据资产与其他资产共同发挥作用时，应采用适当方法区分数据资产和其他资产的贡献，合理评价数据资产价值。应当合理使用评价假设和限制条件。</w:t>
      </w:r>
    </w:p>
    <w:p w14:paraId="693186D6">
      <w:pPr>
        <w:pStyle w:val="18"/>
        <w:bidi w:val="0"/>
        <w:rPr>
          <w:rFonts w:hint="default"/>
          <w:lang w:val="en-US" w:eastAsia="zh-CN"/>
        </w:rPr>
      </w:pPr>
      <w:bookmarkStart w:id="113" w:name="_Toc3192"/>
      <w:bookmarkStart w:id="114" w:name="_Toc24200"/>
      <w:bookmarkStart w:id="115" w:name="_Toc9071"/>
      <w:r>
        <w:rPr>
          <w:rFonts w:hint="eastAsia"/>
          <w:lang w:val="en-US" w:eastAsia="zh-CN"/>
        </w:rPr>
        <w:t>保密性</w:t>
      </w:r>
      <w:bookmarkEnd w:id="113"/>
      <w:bookmarkEnd w:id="114"/>
      <w:bookmarkEnd w:id="115"/>
    </w:p>
    <w:p w14:paraId="6F75D6B0">
      <w:pPr>
        <w:pStyle w:val="17"/>
        <w:rPr>
          <w:rFonts w:hint="default"/>
          <w:lang w:val="en-US" w:eastAsia="zh-CN"/>
        </w:rPr>
      </w:pPr>
      <w:r>
        <w:rPr>
          <w:rFonts w:hint="eastAsia"/>
          <w:lang w:val="en-US" w:eastAsia="zh-CN"/>
        </w:rPr>
        <w:t>在</w:t>
      </w:r>
      <w:r>
        <w:rPr>
          <w:rFonts w:hint="default"/>
          <w:lang w:val="en-US" w:eastAsia="zh-CN"/>
        </w:rPr>
        <w:t>数据资产价值</w:t>
      </w:r>
      <w:r>
        <w:rPr>
          <w:rFonts w:hint="eastAsia"/>
          <w:lang w:val="en-US" w:eastAsia="zh-CN"/>
        </w:rPr>
        <w:t>评价过程中，</w:t>
      </w:r>
      <w:r>
        <w:rPr>
          <w:rFonts w:hint="default"/>
          <w:lang w:val="en-US" w:eastAsia="zh-CN"/>
        </w:rPr>
        <w:t>应关注数据资产的安全性和合法性，并遵守保密原则。</w:t>
      </w:r>
    </w:p>
    <w:p w14:paraId="017E7090">
      <w:pPr>
        <w:pStyle w:val="16"/>
        <w:bidi w:val="0"/>
        <w:rPr>
          <w:rFonts w:hint="default"/>
          <w:lang w:val="en-US" w:eastAsia="zh-CN"/>
        </w:rPr>
      </w:pPr>
      <w:bookmarkStart w:id="116" w:name="_Toc12113"/>
      <w:bookmarkStart w:id="117" w:name="_Toc29088"/>
      <w:r>
        <w:rPr>
          <w:rFonts w:hint="eastAsia"/>
          <w:lang w:val="en-US" w:eastAsia="zh-CN"/>
        </w:rPr>
        <w:t>确定评价对象</w:t>
      </w:r>
      <w:bookmarkEnd w:id="116"/>
      <w:bookmarkEnd w:id="117"/>
    </w:p>
    <w:p w14:paraId="2716BE0C">
      <w:pPr>
        <w:pStyle w:val="17"/>
        <w:rPr>
          <w:rFonts w:hint="eastAsia"/>
          <w:lang w:val="en-US" w:eastAsia="zh-CN"/>
        </w:rPr>
      </w:pPr>
      <w:r>
        <w:rPr>
          <w:rFonts w:hint="eastAsia"/>
          <w:lang w:val="en-US" w:eastAsia="zh-CN"/>
        </w:rPr>
        <w:t>确定</w:t>
      </w:r>
      <w:r>
        <w:rPr>
          <w:rFonts w:hint="default"/>
          <w:lang w:val="en-US" w:eastAsia="zh-CN"/>
        </w:rPr>
        <w:t>数据资产</w:t>
      </w:r>
      <w:r>
        <w:rPr>
          <w:rFonts w:hint="eastAsia"/>
          <w:lang w:val="en-US" w:eastAsia="zh-CN"/>
        </w:rPr>
        <w:t>评价</w:t>
      </w:r>
      <w:r>
        <w:rPr>
          <w:rFonts w:hint="default"/>
          <w:lang w:val="en-US" w:eastAsia="zh-CN"/>
        </w:rPr>
        <w:t>对象</w:t>
      </w:r>
      <w:r>
        <w:rPr>
          <w:rFonts w:hint="eastAsia"/>
          <w:lang w:val="en-US" w:eastAsia="zh-CN"/>
        </w:rPr>
        <w:t>是指对</w:t>
      </w:r>
      <w:r>
        <w:rPr>
          <w:rFonts w:hint="default"/>
          <w:lang w:val="en-US" w:eastAsia="zh-CN"/>
        </w:rPr>
        <w:t>数据资产存在属性涉及的法律权属、数量规模、使用现状并进行描述</w:t>
      </w:r>
      <w:r>
        <w:rPr>
          <w:rFonts w:hint="eastAsia"/>
          <w:lang w:val="en-US" w:eastAsia="zh-CN"/>
        </w:rPr>
        <w:t>。应满足以下要求：</w:t>
      </w:r>
    </w:p>
    <w:p w14:paraId="06FC2648">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对于尚未开展数据产权登记的数据资产，应围绕数据资产的来源及形成过程收集数据资产权属相关的资料，并以询问、书面审查查询等方式实施核查验证程序，不同数据来源的核查验证方式如下</w:t>
      </w:r>
      <w:r>
        <w:rPr>
          <w:rFonts w:hint="eastAsia"/>
          <w:lang w:val="en-US" w:eastAsia="zh-CN"/>
        </w:rPr>
        <w:t>：</w:t>
      </w:r>
    </w:p>
    <w:p w14:paraId="3B2A9180">
      <w:pPr>
        <w:pStyle w:val="17"/>
        <w:keepNext w:val="0"/>
        <w:keepLines w:val="0"/>
        <w:pageBreakBefore w:val="0"/>
        <w:widowControl/>
        <w:numPr>
          <w:ilvl w:val="0"/>
          <w:numId w:val="6"/>
        </w:numPr>
        <w:kinsoku/>
        <w:wordWrap/>
        <w:overflowPunct/>
        <w:topLinePunct w:val="0"/>
        <w:autoSpaceDE w:val="0"/>
        <w:autoSpaceDN w:val="0"/>
        <w:bidi w:val="0"/>
        <w:adjustRightInd/>
        <w:snapToGrid/>
        <w:ind w:left="1265" w:leftChars="0" w:hanging="425" w:firstLineChars="0"/>
        <w:textAlignment w:val="auto"/>
        <w:rPr>
          <w:rFonts w:hint="default"/>
          <w:lang w:val="en-US" w:eastAsia="zh-CN"/>
        </w:rPr>
      </w:pPr>
      <w:r>
        <w:rPr>
          <w:rFonts w:hint="eastAsia"/>
          <w:lang w:val="en-US" w:eastAsia="zh-CN"/>
        </w:rPr>
        <w:t>源自个人的数据：基于收集的用户个人向企业作出的知情同意、授权、许可文件，检查授权许可文件的签署方式及签署记录，了解授权企业使用信息的内容和范围，检查企业利用个人数据的过程是否遵循用户授权许可协议的约定，检查企业是否存在超范围使用个人信息的情形，检查是否触发用户协议中的禁止条款，检查企业采集个人信息是否遵循个人信息保护法规定的“最小必要原则”；</w:t>
      </w:r>
    </w:p>
    <w:p w14:paraId="0DD6F4CF">
      <w:pPr>
        <w:pStyle w:val="17"/>
        <w:keepNext w:val="0"/>
        <w:keepLines w:val="0"/>
        <w:pageBreakBefore w:val="0"/>
        <w:widowControl/>
        <w:numPr>
          <w:ilvl w:val="0"/>
          <w:numId w:val="6"/>
        </w:numPr>
        <w:kinsoku/>
        <w:wordWrap/>
        <w:overflowPunct/>
        <w:topLinePunct w:val="0"/>
        <w:autoSpaceDE w:val="0"/>
        <w:autoSpaceDN w:val="0"/>
        <w:bidi w:val="0"/>
        <w:adjustRightInd/>
        <w:snapToGrid/>
        <w:ind w:left="1265" w:leftChars="0" w:hanging="425" w:firstLineChars="0"/>
        <w:textAlignment w:val="auto"/>
        <w:rPr>
          <w:rFonts w:hint="default"/>
          <w:lang w:val="en-US" w:eastAsia="zh-CN"/>
        </w:rPr>
      </w:pPr>
      <w:r>
        <w:rPr>
          <w:rFonts w:hint="eastAsia"/>
          <w:lang w:val="en-US" w:eastAsia="zh-CN"/>
        </w:rPr>
        <w:t>获取的公开数据或公共数据：如果是公开数据，对数据的公开渠道进行查询或复核，如果是依法授权的数据核对授权协议，了解或核对依法授权的文件资料，检查企业利用公共数据的过程是否遵循授权协议的约定；</w:t>
      </w:r>
    </w:p>
    <w:p w14:paraId="32C8AAA1">
      <w:pPr>
        <w:pStyle w:val="17"/>
        <w:keepNext w:val="0"/>
        <w:keepLines w:val="0"/>
        <w:pageBreakBefore w:val="0"/>
        <w:widowControl/>
        <w:numPr>
          <w:ilvl w:val="0"/>
          <w:numId w:val="6"/>
        </w:numPr>
        <w:kinsoku/>
        <w:wordWrap/>
        <w:overflowPunct/>
        <w:topLinePunct w:val="0"/>
        <w:autoSpaceDE w:val="0"/>
        <w:autoSpaceDN w:val="0"/>
        <w:bidi w:val="0"/>
        <w:adjustRightInd/>
        <w:snapToGrid/>
        <w:ind w:left="1265" w:leftChars="0" w:hanging="425" w:firstLineChars="0"/>
        <w:textAlignment w:val="auto"/>
        <w:rPr>
          <w:rFonts w:hint="default"/>
          <w:lang w:val="en-US" w:eastAsia="zh-CN"/>
        </w:rPr>
      </w:pPr>
      <w:r>
        <w:rPr>
          <w:rFonts w:hint="eastAsia"/>
          <w:lang w:val="en-US" w:eastAsia="zh-CN"/>
        </w:rPr>
        <w:t>企业购入的数据：通过核对数据交易合同的原件等方式对数据交易合同信息的准确性和完整性进行核查，关注数据出售方是否拥有数据的权属；</w:t>
      </w:r>
    </w:p>
    <w:p w14:paraId="7931D950">
      <w:pPr>
        <w:pStyle w:val="17"/>
        <w:keepNext w:val="0"/>
        <w:keepLines w:val="0"/>
        <w:pageBreakBefore w:val="0"/>
        <w:widowControl/>
        <w:numPr>
          <w:ilvl w:val="0"/>
          <w:numId w:val="6"/>
        </w:numPr>
        <w:kinsoku/>
        <w:wordWrap/>
        <w:overflowPunct/>
        <w:topLinePunct w:val="0"/>
        <w:autoSpaceDE w:val="0"/>
        <w:autoSpaceDN w:val="0"/>
        <w:bidi w:val="0"/>
        <w:adjustRightInd/>
        <w:snapToGrid/>
        <w:ind w:left="1265" w:leftChars="0" w:hanging="425" w:firstLineChars="0"/>
        <w:textAlignment w:val="auto"/>
        <w:rPr>
          <w:rFonts w:hint="default"/>
          <w:lang w:val="en-US" w:eastAsia="zh-CN"/>
        </w:rPr>
      </w:pPr>
      <w:r>
        <w:rPr>
          <w:rFonts w:hint="eastAsia"/>
          <w:lang w:val="en-US" w:eastAsia="zh-CN"/>
        </w:rPr>
        <w:t>通过网络爬虫技术公开抓取的数据：如果委托人提交了关于被评价单位网络爬虫行为是否违法的法律意见书，应当分析法律意见书来源的可靠性，并通过核对原件等方式对法律意见书进行核查。</w:t>
      </w:r>
    </w:p>
    <w:p w14:paraId="3279C49C">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应将企业数据与个人数据、公共数据相区分，将数据资源存货及数据资源无形资产相区分</w:t>
      </w:r>
      <w:r>
        <w:rPr>
          <w:rFonts w:hint="eastAsia"/>
          <w:lang w:val="en-US" w:eastAsia="zh-CN"/>
        </w:rPr>
        <w:t>；</w:t>
      </w:r>
    </w:p>
    <w:p w14:paraId="458CA037">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应将基准日的存量数据与基准日后的新增数据相区分</w:t>
      </w:r>
      <w:r>
        <w:rPr>
          <w:rFonts w:hint="eastAsia"/>
          <w:lang w:val="en-US" w:eastAsia="zh-CN"/>
        </w:rPr>
        <w:t>；</w:t>
      </w:r>
    </w:p>
    <w:p w14:paraId="276F5FAA">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应将数据资产</w:t>
      </w:r>
      <w:r>
        <w:rPr>
          <w:rFonts w:hint="eastAsia"/>
          <w:lang w:val="en-US" w:eastAsia="zh-CN"/>
        </w:rPr>
        <w:t>评价</w:t>
      </w:r>
      <w:r>
        <w:rPr>
          <w:rFonts w:hint="default"/>
          <w:lang w:val="en-US" w:eastAsia="zh-CN"/>
        </w:rPr>
        <w:t>范围与会计核算范围相区分</w:t>
      </w:r>
      <w:r>
        <w:rPr>
          <w:rFonts w:hint="eastAsia"/>
          <w:lang w:val="en-US" w:eastAsia="zh-CN"/>
        </w:rPr>
        <w:t>；</w:t>
      </w:r>
    </w:p>
    <w:p w14:paraId="2B2BE89E">
      <w:pPr>
        <w:pStyle w:val="17"/>
        <w:keepNext w:val="0"/>
        <w:keepLines w:val="0"/>
        <w:pageBreakBefore w:val="0"/>
        <w:widowControl/>
        <w:numPr>
          <w:ilvl w:val="0"/>
          <w:numId w:val="5"/>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应处理好数据资产与其他无形资产之间的关系，避免</w:t>
      </w:r>
      <w:r>
        <w:rPr>
          <w:rFonts w:hint="eastAsia"/>
          <w:lang w:val="en-US" w:eastAsia="zh-CN"/>
        </w:rPr>
        <w:t>评价</w:t>
      </w:r>
      <w:r>
        <w:rPr>
          <w:rFonts w:hint="default"/>
          <w:lang w:val="en-US" w:eastAsia="zh-CN"/>
        </w:rPr>
        <w:t>范围的遗漏或重复。</w:t>
      </w:r>
    </w:p>
    <w:p w14:paraId="22A422EA">
      <w:pPr>
        <w:pStyle w:val="16"/>
        <w:bidi w:val="0"/>
        <w:rPr>
          <w:rFonts w:hint="default"/>
          <w:lang w:val="en-US" w:eastAsia="zh-CN"/>
        </w:rPr>
      </w:pPr>
      <w:bookmarkStart w:id="118" w:name="_Toc29352"/>
      <w:bookmarkStart w:id="119" w:name="_Toc27953"/>
      <w:r>
        <w:rPr>
          <w:rFonts w:hint="eastAsia"/>
          <w:lang w:val="en-US" w:eastAsia="zh-CN"/>
        </w:rPr>
        <w:t>数据收集</w:t>
      </w:r>
      <w:bookmarkEnd w:id="118"/>
      <w:bookmarkEnd w:id="119"/>
    </w:p>
    <w:p w14:paraId="13C65D77">
      <w:pPr>
        <w:pStyle w:val="17"/>
        <w:rPr>
          <w:rFonts w:hint="eastAsia"/>
          <w:lang w:val="en-US" w:eastAsia="zh-CN"/>
        </w:rPr>
      </w:pPr>
      <w:r>
        <w:rPr>
          <w:rFonts w:hint="eastAsia"/>
          <w:lang w:val="en-US" w:eastAsia="zh-CN"/>
        </w:rPr>
        <w:t>数据收集是指系统、全面地从工业环境中获取相关数据的过程。这一过程旨在确保所收集的数据能充分反映工业数据资产的实际状况和潜在价值。在数据收集过程中，应满足以下要求：</w:t>
      </w:r>
    </w:p>
    <w:p w14:paraId="6A830E31">
      <w:pPr>
        <w:pStyle w:val="17"/>
        <w:keepNext w:val="0"/>
        <w:keepLines w:val="0"/>
        <w:pageBreakBefore w:val="0"/>
        <w:widowControl/>
        <w:numPr>
          <w:ilvl w:val="0"/>
          <w:numId w:val="7"/>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w:t>
      </w:r>
      <w:r>
        <w:rPr>
          <w:rFonts w:hint="default"/>
          <w:lang w:val="en-US" w:eastAsia="zh-CN"/>
        </w:rPr>
        <w:t>确保收集到的数据全面、完整，能够反映工业数据资产的全貌</w:t>
      </w:r>
      <w:r>
        <w:rPr>
          <w:rFonts w:hint="eastAsia"/>
          <w:lang w:val="en-US" w:eastAsia="zh-CN"/>
        </w:rPr>
        <w:t>；</w:t>
      </w:r>
    </w:p>
    <w:p w14:paraId="23EA6B28">
      <w:pPr>
        <w:pStyle w:val="17"/>
        <w:keepNext w:val="0"/>
        <w:keepLines w:val="0"/>
        <w:pageBreakBefore w:val="0"/>
        <w:widowControl/>
        <w:numPr>
          <w:ilvl w:val="0"/>
          <w:numId w:val="7"/>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应确保收集到的数据</w:t>
      </w:r>
      <w:r>
        <w:rPr>
          <w:rFonts w:hint="default"/>
          <w:lang w:val="en-US" w:eastAsia="zh-CN"/>
        </w:rPr>
        <w:t>真实可靠，避免错误或误导性的信息</w:t>
      </w:r>
      <w:r>
        <w:rPr>
          <w:rFonts w:hint="eastAsia"/>
          <w:lang w:val="en-US" w:eastAsia="zh-CN"/>
        </w:rPr>
        <w:t>；</w:t>
      </w:r>
    </w:p>
    <w:p w14:paraId="5D096ADF">
      <w:pPr>
        <w:pStyle w:val="17"/>
        <w:keepNext w:val="0"/>
        <w:keepLines w:val="0"/>
        <w:pageBreakBefore w:val="0"/>
        <w:widowControl/>
        <w:numPr>
          <w:ilvl w:val="0"/>
          <w:numId w:val="7"/>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应确保</w:t>
      </w:r>
      <w:r>
        <w:rPr>
          <w:rFonts w:hint="default"/>
          <w:lang w:val="en-US" w:eastAsia="zh-CN"/>
        </w:rPr>
        <w:t>数据能够反映最新的工业状况和市场动态</w:t>
      </w:r>
      <w:r>
        <w:rPr>
          <w:rFonts w:hint="eastAsia"/>
          <w:lang w:val="en-US" w:eastAsia="zh-CN"/>
        </w:rPr>
        <w:t>；</w:t>
      </w:r>
    </w:p>
    <w:p w14:paraId="589BE1AB">
      <w:pPr>
        <w:pStyle w:val="17"/>
        <w:keepNext w:val="0"/>
        <w:keepLines w:val="0"/>
        <w:pageBreakBefore w:val="0"/>
        <w:widowControl/>
        <w:numPr>
          <w:ilvl w:val="0"/>
          <w:numId w:val="7"/>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default"/>
          <w:lang w:val="en-US" w:eastAsia="zh-CN"/>
        </w:rPr>
        <w:t>在收集数据的过程中，应遵守相关法律法规，确保数据的合法获取和使用</w:t>
      </w:r>
      <w:r>
        <w:rPr>
          <w:rFonts w:hint="eastAsia"/>
          <w:lang w:val="en-US" w:eastAsia="zh-CN"/>
        </w:rPr>
        <w:t>；</w:t>
      </w:r>
    </w:p>
    <w:p w14:paraId="53882C4E">
      <w:pPr>
        <w:pStyle w:val="17"/>
        <w:keepNext w:val="0"/>
        <w:keepLines w:val="0"/>
        <w:pageBreakBefore w:val="0"/>
        <w:widowControl/>
        <w:numPr>
          <w:ilvl w:val="0"/>
          <w:numId w:val="7"/>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应采取措施</w:t>
      </w:r>
      <w:r>
        <w:rPr>
          <w:rFonts w:hint="default"/>
          <w:lang w:val="en-US" w:eastAsia="zh-CN"/>
        </w:rPr>
        <w:t>，防止</w:t>
      </w:r>
      <w:r>
        <w:rPr>
          <w:rFonts w:hint="eastAsia"/>
          <w:lang w:val="en-US" w:eastAsia="zh-CN"/>
        </w:rPr>
        <w:t>收集到的</w:t>
      </w:r>
      <w:r>
        <w:rPr>
          <w:rFonts w:hint="default"/>
          <w:lang w:val="en-US" w:eastAsia="zh-CN"/>
        </w:rPr>
        <w:t>数据泄露或被非法获取。</w:t>
      </w:r>
    </w:p>
    <w:p w14:paraId="4485F794">
      <w:pPr>
        <w:pStyle w:val="16"/>
        <w:bidi w:val="0"/>
        <w:rPr>
          <w:rFonts w:hint="default"/>
          <w:lang w:val="en-US" w:eastAsia="zh-CN"/>
        </w:rPr>
      </w:pPr>
      <w:bookmarkStart w:id="120" w:name="_Toc23393"/>
      <w:bookmarkStart w:id="121" w:name="_Toc4143"/>
      <w:r>
        <w:rPr>
          <w:rFonts w:hint="eastAsia"/>
          <w:lang w:val="en-US" w:eastAsia="zh-CN"/>
        </w:rPr>
        <w:t>数据分类</w:t>
      </w:r>
      <w:bookmarkEnd w:id="120"/>
      <w:bookmarkEnd w:id="121"/>
    </w:p>
    <w:p w14:paraId="3938037E">
      <w:pPr>
        <w:pStyle w:val="17"/>
        <w:rPr>
          <w:rFonts w:hint="default"/>
          <w:lang w:val="en-US" w:eastAsia="zh-CN"/>
        </w:rPr>
      </w:pPr>
      <w:r>
        <w:rPr>
          <w:rFonts w:hint="default"/>
          <w:lang w:val="en-US" w:eastAsia="zh-CN"/>
        </w:rPr>
        <w:t>数据分类和价值识别是指对收集到的工业数据进行系统分类。在数据分类过程中，应满足以下要求：</w:t>
      </w:r>
    </w:p>
    <w:p w14:paraId="46500186">
      <w:pPr>
        <w:pStyle w:val="17"/>
        <w:keepNext w:val="0"/>
        <w:keepLines w:val="0"/>
        <w:pageBreakBefore w:val="0"/>
        <w:widowControl/>
        <w:numPr>
          <w:ilvl w:val="0"/>
          <w:numId w:val="8"/>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应依据DB21/T 3867-2023对数据进行分类</w:t>
      </w:r>
      <w:r>
        <w:rPr>
          <w:rFonts w:hint="default"/>
          <w:lang w:val="en-US" w:eastAsia="zh-CN"/>
        </w:rPr>
        <w:t>，确保数据能够被准确归类</w:t>
      </w:r>
      <w:r>
        <w:rPr>
          <w:rFonts w:hint="eastAsia"/>
          <w:lang w:val="en-US" w:eastAsia="zh-CN"/>
        </w:rPr>
        <w:t>；</w:t>
      </w:r>
    </w:p>
    <w:p w14:paraId="4E280B9F">
      <w:pPr>
        <w:pStyle w:val="17"/>
        <w:keepNext w:val="0"/>
        <w:keepLines w:val="0"/>
        <w:pageBreakBefore w:val="0"/>
        <w:widowControl/>
        <w:numPr>
          <w:ilvl w:val="0"/>
          <w:numId w:val="8"/>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w:t>
      </w:r>
      <w:r>
        <w:rPr>
          <w:rFonts w:hint="default"/>
          <w:lang w:val="en-US" w:eastAsia="zh-CN"/>
        </w:rPr>
        <w:t>采用合适的</w:t>
      </w:r>
      <w:r>
        <w:rPr>
          <w:rFonts w:hint="eastAsia"/>
          <w:lang w:val="en-US" w:eastAsia="zh-CN"/>
        </w:rPr>
        <w:t>评价</w:t>
      </w:r>
      <w:r>
        <w:rPr>
          <w:rFonts w:hint="default"/>
          <w:lang w:val="en-US" w:eastAsia="zh-CN"/>
        </w:rPr>
        <w:t>指标和方法，准确</w:t>
      </w:r>
      <w:r>
        <w:rPr>
          <w:rFonts w:hint="eastAsia"/>
          <w:lang w:val="en-US" w:eastAsia="zh-CN"/>
        </w:rPr>
        <w:t>评价</w:t>
      </w:r>
      <w:r>
        <w:rPr>
          <w:rFonts w:hint="default"/>
          <w:lang w:val="en-US" w:eastAsia="zh-CN"/>
        </w:rPr>
        <w:t>各类数据的价值</w:t>
      </w:r>
      <w:r>
        <w:rPr>
          <w:rFonts w:hint="eastAsia"/>
          <w:lang w:val="en-US" w:eastAsia="zh-CN"/>
        </w:rPr>
        <w:t>；</w:t>
      </w:r>
    </w:p>
    <w:p w14:paraId="19E91FBC">
      <w:pPr>
        <w:pStyle w:val="17"/>
        <w:keepNext w:val="0"/>
        <w:keepLines w:val="0"/>
        <w:pageBreakBefore w:val="0"/>
        <w:widowControl/>
        <w:numPr>
          <w:ilvl w:val="0"/>
          <w:numId w:val="8"/>
        </w:numPr>
        <w:kinsoku/>
        <w:wordWrap/>
        <w:overflowPunct/>
        <w:topLinePunct w:val="0"/>
        <w:autoSpaceDE w:val="0"/>
        <w:autoSpaceDN w:val="0"/>
        <w:bidi w:val="0"/>
        <w:adjustRightInd/>
        <w:snapToGrid/>
        <w:ind w:left="840" w:leftChars="200" w:hanging="420" w:hangingChars="200"/>
        <w:textAlignment w:val="auto"/>
        <w:rPr>
          <w:rFonts w:hint="default"/>
          <w:lang w:val="en-US" w:eastAsia="zh-CN"/>
        </w:rPr>
      </w:pPr>
      <w:r>
        <w:rPr>
          <w:rFonts w:hint="eastAsia"/>
          <w:lang w:val="en-US" w:eastAsia="zh-CN"/>
        </w:rPr>
        <w:t>应</w:t>
      </w:r>
      <w:r>
        <w:rPr>
          <w:rFonts w:hint="default"/>
          <w:lang w:val="en-US" w:eastAsia="zh-CN"/>
        </w:rPr>
        <w:t>定期</w:t>
      </w:r>
      <w:r>
        <w:rPr>
          <w:rFonts w:hint="eastAsia"/>
          <w:lang w:val="en-US" w:eastAsia="zh-CN"/>
        </w:rPr>
        <w:t>对</w:t>
      </w:r>
      <w:r>
        <w:rPr>
          <w:rFonts w:hint="default"/>
          <w:lang w:val="en-US" w:eastAsia="zh-CN"/>
        </w:rPr>
        <w:t>数据</w:t>
      </w:r>
      <w:r>
        <w:rPr>
          <w:rFonts w:hint="eastAsia"/>
          <w:lang w:val="en-US" w:eastAsia="zh-CN"/>
        </w:rPr>
        <w:t>的</w:t>
      </w:r>
      <w:r>
        <w:rPr>
          <w:rFonts w:hint="default"/>
          <w:lang w:val="en-US" w:eastAsia="zh-CN"/>
        </w:rPr>
        <w:t>分类更新和调整，以适应新的需求和挑战。</w:t>
      </w:r>
    </w:p>
    <w:bookmarkEnd w:id="95"/>
    <w:p w14:paraId="4B7591F2">
      <w:pPr>
        <w:pStyle w:val="16"/>
        <w:bidi w:val="0"/>
        <w:rPr>
          <w:rFonts w:hint="eastAsia"/>
          <w:lang w:val="en-US" w:eastAsia="zh-CN"/>
        </w:rPr>
      </w:pPr>
      <w:bookmarkStart w:id="122" w:name="_Toc12244"/>
      <w:bookmarkStart w:id="123" w:name="_Toc32612"/>
      <w:bookmarkStart w:id="124" w:name="_Toc10312"/>
      <w:r>
        <w:rPr>
          <w:rFonts w:hint="eastAsia"/>
          <w:lang w:val="en-US" w:eastAsia="zh-CN"/>
        </w:rPr>
        <w:t>评价方法选择</w:t>
      </w:r>
      <w:bookmarkEnd w:id="122"/>
      <w:bookmarkEnd w:id="123"/>
    </w:p>
    <w:p w14:paraId="1EC0BC46">
      <w:pPr>
        <w:pStyle w:val="18"/>
        <w:bidi w:val="0"/>
        <w:rPr>
          <w:rFonts w:hint="default"/>
          <w:lang w:val="en-US" w:eastAsia="zh-CN"/>
        </w:rPr>
      </w:pPr>
      <w:bookmarkStart w:id="125" w:name="_Toc7960"/>
      <w:bookmarkStart w:id="126" w:name="_Toc20580"/>
      <w:r>
        <w:rPr>
          <w:rFonts w:hint="eastAsia"/>
          <w:lang w:val="en-US" w:eastAsia="zh-CN"/>
        </w:rPr>
        <w:t>市场法</w:t>
      </w:r>
      <w:bookmarkEnd w:id="125"/>
      <w:bookmarkEnd w:id="126"/>
    </w:p>
    <w:p w14:paraId="3198B2DE">
      <w:pPr>
        <w:pStyle w:val="17"/>
        <w:rPr>
          <w:rFonts w:hint="default"/>
          <w:lang w:val="en-US" w:eastAsia="zh-CN"/>
        </w:rPr>
      </w:pPr>
      <w:r>
        <w:rPr>
          <w:rFonts w:hint="default"/>
          <w:lang w:val="en-US" w:eastAsia="zh-CN"/>
        </w:rPr>
        <w:t>市场法是把相对成熟的市场近期成交的类似参照系价格作为参考，并对有差异的因素加以修正，得出待估数据资产</w:t>
      </w:r>
      <w:r>
        <w:rPr>
          <w:rFonts w:hint="eastAsia"/>
          <w:lang w:val="en-US" w:eastAsia="zh-CN"/>
        </w:rPr>
        <w:t>评价</w:t>
      </w:r>
      <w:r>
        <w:rPr>
          <w:rFonts w:hint="default"/>
          <w:lang w:val="en-US" w:eastAsia="zh-CN"/>
        </w:rPr>
        <w:t>值。</w:t>
      </w:r>
    </w:p>
    <w:p w14:paraId="47CF64F4">
      <w:pPr>
        <w:pStyle w:val="17"/>
        <w:rPr>
          <w:rFonts w:hint="eastAsia"/>
          <w:lang w:val="en-US" w:eastAsia="zh-CN"/>
        </w:rPr>
      </w:pPr>
      <w:r>
        <w:rPr>
          <w:rFonts w:hint="default"/>
          <w:lang w:val="en-US" w:eastAsia="zh-CN"/>
        </w:rPr>
        <w:t>市场法一般包括筛选和调整两步。筛选是在市场上寻找与待估数据资产相同或相似的参照数据</w:t>
      </w:r>
      <w:r>
        <w:rPr>
          <w:rFonts w:hint="eastAsia"/>
          <w:lang w:val="en-US" w:eastAsia="zh-CN"/>
        </w:rPr>
        <w:t>；</w:t>
      </w:r>
      <w:r>
        <w:rPr>
          <w:rFonts w:hint="default"/>
          <w:lang w:val="en-US" w:eastAsia="zh-CN"/>
        </w:rPr>
        <w:t>调整是通过比较待估数据资产和参照数据资产来确定调整系数，得到待估数据资产的价值，可考虑数据资产的质量、地域、</w:t>
      </w:r>
      <w:r>
        <w:rPr>
          <w:rFonts w:hint="eastAsia"/>
          <w:lang w:val="en-US" w:eastAsia="zh-CN"/>
        </w:rPr>
        <w:t>数据规模、</w:t>
      </w:r>
      <w:r>
        <w:rPr>
          <w:rFonts w:hint="default"/>
          <w:lang w:val="en-US" w:eastAsia="zh-CN"/>
        </w:rPr>
        <w:t>使用时间、市场潜力、经济形势和财务准则等因素。见公式</w:t>
      </w:r>
      <w:r>
        <w:rPr>
          <w:rFonts w:hint="eastAsia"/>
          <w:lang w:val="en-US" w:eastAsia="zh-CN"/>
        </w:rPr>
        <w:t>（1）：</w:t>
      </w:r>
    </w:p>
    <w:p w14:paraId="251B22A9">
      <w:pPr>
        <w:pStyle w:val="17"/>
        <w:jc w:val="right"/>
        <w:rPr>
          <w:rFonts w:hint="eastAsia"/>
          <w:lang w:val="en-US" w:eastAsia="zh-CN"/>
        </w:rPr>
      </w:pPr>
      <w:r>
        <w:rPr>
          <w:rFonts w:hint="default"/>
          <w:position w:val="-28"/>
          <w:lang w:val="en-US" w:eastAsia="zh-CN"/>
        </w:rPr>
        <w:object>
          <v:shape id="_x0000_i1025" o:spt="75" type="#_x0000_t75" style="height:34pt;width:93pt;" o:ole="t" filled="f" o:preferrelative="t" stroked="f" coordsize="21600,21600">
            <v:path/>
            <v:fill on="f" focussize="0,0"/>
            <v:stroke on="f"/>
            <v:imagedata r:id="rId20" o:title=""/>
            <o:lock v:ext="edit" aspectratio="t"/>
            <w10:wrap type="none"/>
            <w10:anchorlock/>
          </v:shape>
          <o:OLEObject Type="Embed" ProgID="Equation.KSEE3" ShapeID="_x0000_i1025" DrawAspect="Content" ObjectID="_1468075725" r:id="rId19">
            <o:LockedField>false</o:LockedField>
          </o:OLEObject>
        </w:object>
      </w:r>
      <w:r>
        <w:rPr>
          <w:rFonts w:hint="eastAsia"/>
          <w:lang w:val="en-US" w:eastAsia="zh-CN"/>
        </w:rPr>
        <w:t>………………………………（1）</w:t>
      </w:r>
    </w:p>
    <w:p w14:paraId="43C009A5">
      <w:pPr>
        <w:pStyle w:val="17"/>
        <w:jc w:val="left"/>
        <w:rPr>
          <w:rFonts w:hint="eastAsia"/>
          <w:lang w:val="en-US" w:eastAsia="zh-CN"/>
        </w:rPr>
      </w:pPr>
      <w:r>
        <w:rPr>
          <w:rFonts w:hint="eastAsia"/>
          <w:lang w:val="en-US" w:eastAsia="zh-CN"/>
        </w:rPr>
        <w:t>式中：</w:t>
      </w:r>
    </w:p>
    <w:p w14:paraId="26A124BE">
      <w:pPr>
        <w:pStyle w:val="17"/>
        <w:jc w:val="left"/>
        <w:rPr>
          <w:rFonts w:hint="eastAsia"/>
          <w:lang w:val="en-US" w:eastAsia="zh-CN"/>
        </w:rPr>
      </w:pPr>
      <w:r>
        <w:rPr>
          <w:rFonts w:hint="eastAsia"/>
          <w:lang w:val="en-US" w:eastAsia="zh-CN"/>
        </w:rPr>
        <w:t>P——待评价数据资产的价值，单位为元；</w:t>
      </w:r>
    </w:p>
    <w:p w14:paraId="6DCA99CE">
      <w:pPr>
        <w:pStyle w:val="17"/>
        <w:jc w:val="left"/>
        <w:rPr>
          <w:rFonts w:hint="eastAsia"/>
          <w:lang w:val="en-US" w:eastAsia="zh-CN"/>
        </w:rPr>
      </w:pPr>
      <w:r>
        <w:rPr>
          <w:rFonts w:hint="default"/>
          <w:position w:val="-4"/>
          <w:lang w:val="en-US" w:eastAsia="zh-CN"/>
        </w:rPr>
        <w:object>
          <v:shape id="_x0000_i1026" o:spt="75" type="#_x0000_t75" style="height:21pt;width:8.4pt;" o:ole="t" filled="f" o:preferrelative="t" stroked="f" coordsize="21600,21600">
            <v:path/>
            <v:fill on="f" focussize="0,0"/>
            <v:stroke on="f"/>
            <v:imagedata r:id="rId22" o:title=""/>
            <o:lock v:ext="edit" aspectratio="t"/>
            <w10:wrap type="none"/>
            <w10:anchorlock/>
          </v:shape>
          <o:OLEObject Type="Embed" ProgID="Equation.KSEE3" ShapeID="_x0000_i1026" DrawAspect="Content" ObjectID="_1468075726" r:id="rId21">
            <o:LockedField>false</o:LockedField>
          </o:OLEObject>
        </w:object>
      </w:r>
      <w:r>
        <w:rPr>
          <w:rFonts w:hint="eastAsia"/>
          <w:lang w:val="en-US" w:eastAsia="zh-CN"/>
        </w:rPr>
        <w:t>——参照数据的市场平均价格，单位为元；</w:t>
      </w:r>
    </w:p>
    <w:p w14:paraId="206D574E">
      <w:pPr>
        <w:pStyle w:val="17"/>
        <w:jc w:val="left"/>
        <w:rPr>
          <w:rFonts w:hint="eastAsia"/>
          <w:lang w:val="en-US" w:eastAsia="zh-CN"/>
        </w:rPr>
      </w:pPr>
      <w:r>
        <w:rPr>
          <w:rFonts w:hint="eastAsia"/>
          <w:lang w:val="en-US" w:eastAsia="zh-CN"/>
        </w:rPr>
        <w:t>a——第i个价值指标变量的权重（%）；</w:t>
      </w:r>
    </w:p>
    <w:p w14:paraId="7BF091BA">
      <w:pPr>
        <w:pStyle w:val="17"/>
        <w:jc w:val="left"/>
        <w:rPr>
          <w:rFonts w:hint="eastAsia"/>
          <w:lang w:val="en-US" w:eastAsia="zh-CN"/>
        </w:rPr>
      </w:pPr>
      <w:r>
        <w:rPr>
          <w:rFonts w:hint="eastAsia"/>
          <w:lang w:val="en-US" w:eastAsia="zh-CN"/>
        </w:rPr>
        <w:t>X</w:t>
      </w:r>
      <w:r>
        <w:rPr>
          <w:rFonts w:hint="eastAsia"/>
          <w:vertAlign w:val="subscript"/>
          <w:lang w:val="en-US" w:eastAsia="zh-CN"/>
        </w:rPr>
        <w:t>i</w:t>
      </w:r>
      <w:r>
        <w:rPr>
          <w:rFonts w:hint="eastAsia"/>
          <w:lang w:val="en-US" w:eastAsia="zh-CN"/>
        </w:rPr>
        <w:t>——第i个价值指标变量（%）；</w:t>
      </w:r>
    </w:p>
    <w:p w14:paraId="0BF69A94">
      <w:pPr>
        <w:pStyle w:val="17"/>
        <w:jc w:val="left"/>
        <w:rPr>
          <w:rFonts w:hint="eastAsia"/>
          <w:lang w:val="en-US" w:eastAsia="zh-CN"/>
        </w:rPr>
      </w:pPr>
      <w:r>
        <w:rPr>
          <w:rFonts w:hint="eastAsia"/>
          <w:lang w:val="en-US" w:eastAsia="zh-CN"/>
        </w:rPr>
        <w:t>n——价值指标的个数（个）。</w:t>
      </w:r>
    </w:p>
    <w:p w14:paraId="5AF96361">
      <w:pPr>
        <w:pStyle w:val="18"/>
        <w:bidi w:val="0"/>
        <w:rPr>
          <w:rFonts w:hint="default"/>
          <w:lang w:val="en-US" w:eastAsia="zh-CN"/>
        </w:rPr>
      </w:pPr>
      <w:bookmarkStart w:id="127" w:name="_Toc25639"/>
      <w:bookmarkStart w:id="128" w:name="_Toc27122"/>
      <w:r>
        <w:rPr>
          <w:rFonts w:hint="eastAsia"/>
          <w:lang w:val="en-US" w:eastAsia="zh-CN"/>
        </w:rPr>
        <w:t>收益法</w:t>
      </w:r>
      <w:bookmarkEnd w:id="127"/>
      <w:bookmarkEnd w:id="128"/>
    </w:p>
    <w:p w14:paraId="57EDA272">
      <w:pPr>
        <w:pStyle w:val="20"/>
        <w:bidi w:val="0"/>
        <w:rPr>
          <w:rFonts w:hint="default"/>
          <w:lang w:val="en-US" w:eastAsia="zh-CN"/>
        </w:rPr>
      </w:pPr>
      <w:bookmarkStart w:id="129" w:name="_Toc6904"/>
      <w:bookmarkStart w:id="130" w:name="_Toc30133"/>
      <w:r>
        <w:rPr>
          <w:rFonts w:hint="eastAsia"/>
          <w:lang w:val="en-US" w:eastAsia="zh-CN"/>
        </w:rPr>
        <w:t>概述</w:t>
      </w:r>
      <w:bookmarkEnd w:id="129"/>
      <w:bookmarkEnd w:id="130"/>
    </w:p>
    <w:p w14:paraId="74BDC7D1">
      <w:pPr>
        <w:pStyle w:val="17"/>
        <w:rPr>
          <w:rFonts w:hint="eastAsia"/>
          <w:lang w:val="en-US" w:eastAsia="zh-CN"/>
        </w:rPr>
      </w:pPr>
      <w:r>
        <w:rPr>
          <w:rFonts w:hint="default"/>
          <w:lang w:val="en-US" w:eastAsia="zh-CN"/>
        </w:rPr>
        <w:t>收益法又称收益现值法,是待</w:t>
      </w:r>
      <w:r>
        <w:rPr>
          <w:rFonts w:hint="eastAsia"/>
          <w:lang w:val="en-US" w:eastAsia="zh-CN"/>
        </w:rPr>
        <w:t>评价</w:t>
      </w:r>
      <w:r>
        <w:rPr>
          <w:rFonts w:hint="default"/>
          <w:lang w:val="en-US" w:eastAsia="zh-CN"/>
        </w:rPr>
        <w:t>数据资产的经济价值和社会价值之和。适用于应用场景已明确或预期能够明确的数据资产的</w:t>
      </w:r>
      <w:r>
        <w:rPr>
          <w:rFonts w:hint="eastAsia"/>
          <w:lang w:val="en-US" w:eastAsia="zh-CN"/>
        </w:rPr>
        <w:t>评价</w:t>
      </w:r>
      <w:r>
        <w:rPr>
          <w:rFonts w:hint="default"/>
          <w:lang w:val="en-US" w:eastAsia="zh-CN"/>
        </w:rPr>
        <w:t>。其中</w:t>
      </w:r>
      <w:r>
        <w:rPr>
          <w:rFonts w:hint="eastAsia"/>
          <w:lang w:val="en-US" w:eastAsia="zh-CN"/>
        </w:rPr>
        <w:t>，</w:t>
      </w:r>
      <w:r>
        <w:rPr>
          <w:rFonts w:hint="default"/>
          <w:lang w:val="en-US" w:eastAsia="zh-CN"/>
        </w:rPr>
        <w:t>经济价值(社会价值)是把待</w:t>
      </w:r>
      <w:r>
        <w:rPr>
          <w:rFonts w:hint="eastAsia"/>
          <w:lang w:val="en-US" w:eastAsia="zh-CN"/>
        </w:rPr>
        <w:t>评价</w:t>
      </w:r>
      <w:r>
        <w:rPr>
          <w:rFonts w:hint="default"/>
          <w:lang w:val="en-US" w:eastAsia="zh-CN"/>
        </w:rPr>
        <w:t>数据资产剩余寿命期内的预期未来经济收益(社会收益)</w:t>
      </w:r>
      <w:r>
        <w:rPr>
          <w:rFonts w:hint="eastAsia"/>
          <w:lang w:val="en-US" w:eastAsia="zh-CN"/>
        </w:rPr>
        <w:t>，</w:t>
      </w:r>
      <w:r>
        <w:rPr>
          <w:rFonts w:hint="default"/>
          <w:lang w:val="en-US" w:eastAsia="zh-CN"/>
        </w:rPr>
        <w:t>按照一定的折现率折成现期经济价值(社会价值)</w:t>
      </w:r>
      <w:r>
        <w:rPr>
          <w:rFonts w:hint="eastAsia"/>
          <w:lang w:val="en-US" w:eastAsia="zh-CN"/>
        </w:rPr>
        <w:t>，</w:t>
      </w:r>
      <w:r>
        <w:rPr>
          <w:rFonts w:hint="default"/>
          <w:lang w:val="en-US" w:eastAsia="zh-CN"/>
        </w:rPr>
        <w:t>从而确定其价值。收益法是基于数据未来的获利能力</w:t>
      </w:r>
      <w:r>
        <w:rPr>
          <w:rFonts w:hint="eastAsia"/>
          <w:lang w:val="en-US" w:eastAsia="zh-CN"/>
        </w:rPr>
        <w:t>，</w:t>
      </w:r>
      <w:r>
        <w:rPr>
          <w:rFonts w:hint="default"/>
          <w:lang w:val="en-US" w:eastAsia="zh-CN"/>
        </w:rPr>
        <w:t>能够体现数据的内在价值，契合数据资产价值</w:t>
      </w:r>
      <w:r>
        <w:rPr>
          <w:rFonts w:hint="eastAsia"/>
          <w:lang w:val="en-US" w:eastAsia="zh-CN"/>
        </w:rPr>
        <w:t>评价</w:t>
      </w:r>
      <w:r>
        <w:rPr>
          <w:rFonts w:hint="default"/>
          <w:lang w:val="en-US" w:eastAsia="zh-CN"/>
        </w:rPr>
        <w:t>的目的。见公式</w:t>
      </w:r>
      <w:r>
        <w:rPr>
          <w:rFonts w:hint="eastAsia"/>
          <w:lang w:val="en-US" w:eastAsia="zh-CN"/>
        </w:rPr>
        <w:t>（2）：</w:t>
      </w:r>
    </w:p>
    <w:p w14:paraId="4534689F">
      <w:pPr>
        <w:pStyle w:val="17"/>
        <w:jc w:val="right"/>
        <w:rPr>
          <w:rFonts w:hint="eastAsia"/>
          <w:lang w:val="en-US" w:eastAsia="zh-CN"/>
        </w:rPr>
      </w:pPr>
      <w:r>
        <w:rPr>
          <w:rFonts w:hint="eastAsia"/>
          <w:position w:val="-10"/>
          <w:lang w:val="en-US" w:eastAsia="zh-CN"/>
        </w:rPr>
        <w:object>
          <v:shape id="_x0000_i1027" o:spt="75" type="#_x0000_t75" style="height:17pt;width:98pt;" o:ole="t" filled="f" o:preferrelative="t" stroked="f" coordsize="21600,21600">
            <v:path/>
            <v:fill on="f" focussize="0,0"/>
            <v:stroke on="f"/>
            <v:imagedata r:id="rId24" o:title=""/>
            <o:lock v:ext="edit" aspectratio="t"/>
            <w10:wrap type="none"/>
            <w10:anchorlock/>
          </v:shape>
          <o:OLEObject Type="Embed" ProgID="Equation.KSEE3" ShapeID="_x0000_i1027" DrawAspect="Content" ObjectID="_1468075727" r:id="rId23">
            <o:LockedField>false</o:LockedField>
          </o:OLEObject>
        </w:object>
      </w:r>
      <w:r>
        <w:rPr>
          <w:rFonts w:hint="eastAsia"/>
          <w:lang w:val="en-US" w:eastAsia="zh-CN"/>
        </w:rPr>
        <w:t>………………………………（2）</w:t>
      </w:r>
    </w:p>
    <w:p w14:paraId="661FEB47">
      <w:pPr>
        <w:pStyle w:val="17"/>
        <w:jc w:val="left"/>
        <w:rPr>
          <w:rFonts w:hint="eastAsia"/>
          <w:lang w:val="en-US" w:eastAsia="zh-CN"/>
        </w:rPr>
      </w:pPr>
    </w:p>
    <w:p w14:paraId="18AEE346">
      <w:pPr>
        <w:pStyle w:val="17"/>
        <w:jc w:val="left"/>
        <w:rPr>
          <w:rFonts w:hint="eastAsia"/>
          <w:lang w:val="en-US" w:eastAsia="zh-CN"/>
        </w:rPr>
      </w:pPr>
      <w:r>
        <w:rPr>
          <w:rFonts w:hint="eastAsia"/>
          <w:lang w:val="en-US" w:eastAsia="zh-CN"/>
        </w:rPr>
        <w:t>式中：</w:t>
      </w:r>
    </w:p>
    <w:p w14:paraId="70522C30">
      <w:pPr>
        <w:pStyle w:val="17"/>
        <w:jc w:val="left"/>
        <w:rPr>
          <w:rFonts w:hint="eastAsia"/>
          <w:lang w:val="en-US" w:eastAsia="zh-CN"/>
        </w:rPr>
      </w:pPr>
      <w:r>
        <w:rPr>
          <w:rFonts w:hint="eastAsia"/>
          <w:lang w:val="en-US" w:eastAsia="zh-CN"/>
        </w:rPr>
        <w:t>P——待评价数据资产的价值，单位为元；</w:t>
      </w:r>
    </w:p>
    <w:p w14:paraId="48D071A2">
      <w:pPr>
        <w:pStyle w:val="17"/>
        <w:jc w:val="left"/>
        <w:rPr>
          <w:rFonts w:hint="eastAsia"/>
          <w:lang w:val="en-US" w:eastAsia="zh-CN"/>
        </w:rPr>
      </w:pPr>
      <w:r>
        <w:rPr>
          <w:rFonts w:hint="eastAsia"/>
          <w:lang w:val="en-US" w:eastAsia="zh-CN"/>
        </w:rPr>
        <w:t>a</w:t>
      </w:r>
      <w:r>
        <w:rPr>
          <w:rFonts w:hint="eastAsia"/>
          <w:vertAlign w:val="subscript"/>
          <w:lang w:val="en-US" w:eastAsia="zh-CN"/>
        </w:rPr>
        <w:t>1</w:t>
      </w:r>
      <w:r>
        <w:rPr>
          <w:rFonts w:hint="eastAsia"/>
          <w:lang w:val="en-US" w:eastAsia="zh-CN"/>
        </w:rPr>
        <w:t>——数据经济价值在数据资产价值中的权重（%）；</w:t>
      </w:r>
    </w:p>
    <w:p w14:paraId="0A0DBA90">
      <w:pPr>
        <w:pStyle w:val="17"/>
        <w:jc w:val="left"/>
        <w:rPr>
          <w:rFonts w:hint="eastAsia"/>
          <w:lang w:val="en-US" w:eastAsia="zh-CN"/>
        </w:rPr>
      </w:pPr>
      <w:r>
        <w:rPr>
          <w:rFonts w:hint="eastAsia"/>
          <w:lang w:val="en-US" w:eastAsia="zh-CN"/>
        </w:rPr>
        <w:t>P</w:t>
      </w:r>
      <w:r>
        <w:rPr>
          <w:rFonts w:hint="eastAsia"/>
          <w:vertAlign w:val="subscript"/>
          <w:lang w:val="en-US" w:eastAsia="zh-CN"/>
        </w:rPr>
        <w:t>1</w:t>
      </w:r>
      <w:r>
        <w:rPr>
          <w:rFonts w:hint="eastAsia"/>
          <w:lang w:val="en-US" w:eastAsia="zh-CN"/>
        </w:rPr>
        <w:t>——基于收益法计算的数据资产的经济价值，单位为元；</w:t>
      </w:r>
    </w:p>
    <w:p w14:paraId="233D39AA">
      <w:pPr>
        <w:pStyle w:val="17"/>
        <w:jc w:val="left"/>
        <w:rPr>
          <w:rFonts w:hint="eastAsia"/>
          <w:lang w:val="en-US" w:eastAsia="zh-CN"/>
        </w:rPr>
      </w:pPr>
      <w:r>
        <w:rPr>
          <w:rFonts w:hint="eastAsia"/>
          <w:lang w:val="en-US" w:eastAsia="zh-CN"/>
        </w:rPr>
        <w:t>a</w:t>
      </w:r>
      <w:r>
        <w:rPr>
          <w:rFonts w:hint="eastAsia"/>
          <w:vertAlign w:val="subscript"/>
          <w:lang w:val="en-US" w:eastAsia="zh-CN"/>
        </w:rPr>
        <w:t>21</w:t>
      </w:r>
      <w:r>
        <w:rPr>
          <w:rFonts w:hint="eastAsia"/>
          <w:lang w:val="en-US" w:eastAsia="zh-CN"/>
        </w:rPr>
        <w:t>——数据社会价值在数据资产价值中的权重（%）；</w:t>
      </w:r>
    </w:p>
    <w:p w14:paraId="13CE794C">
      <w:pPr>
        <w:pStyle w:val="17"/>
        <w:jc w:val="left"/>
        <w:rPr>
          <w:rFonts w:hint="eastAsia"/>
          <w:lang w:val="en-US" w:eastAsia="zh-CN"/>
        </w:rPr>
      </w:pPr>
      <w:r>
        <w:rPr>
          <w:rFonts w:hint="eastAsia"/>
          <w:lang w:val="en-US" w:eastAsia="zh-CN"/>
        </w:rPr>
        <w:t>P</w:t>
      </w:r>
      <w:r>
        <w:rPr>
          <w:rFonts w:hint="eastAsia"/>
          <w:vertAlign w:val="subscript"/>
          <w:lang w:val="en-US" w:eastAsia="zh-CN"/>
        </w:rPr>
        <w:t>2</w:t>
      </w:r>
      <w:r>
        <w:rPr>
          <w:rFonts w:hint="eastAsia"/>
          <w:lang w:val="en-US" w:eastAsia="zh-CN"/>
        </w:rPr>
        <w:t>——基于收益法计算的数据资产的社会价值，单位为元。</w:t>
      </w:r>
    </w:p>
    <w:p w14:paraId="213AD8E0">
      <w:pPr>
        <w:pStyle w:val="17"/>
        <w:jc w:val="left"/>
        <w:rPr>
          <w:rFonts w:hint="eastAsia"/>
          <w:lang w:val="en-US" w:eastAsia="zh-CN"/>
        </w:rPr>
      </w:pPr>
      <w:r>
        <w:rPr>
          <w:rFonts w:hint="eastAsia"/>
          <w:lang w:val="en-US" w:eastAsia="zh-CN"/>
        </w:rPr>
        <w:t>运用收益法评价数据资产时对于收益预测，考虑到不同的使用者对于同一数据.不仅应用场景不同，数据的可利用率也不同，应将与价值类型相匹配的当前已明确以及未来能够明确的应用场景纳入考虑范畴。</w:t>
      </w:r>
    </w:p>
    <w:p w14:paraId="54FA3013">
      <w:pPr>
        <w:pStyle w:val="17"/>
        <w:jc w:val="left"/>
        <w:rPr>
          <w:rFonts w:hint="eastAsia"/>
          <w:lang w:val="en-US" w:eastAsia="zh-CN"/>
        </w:rPr>
      </w:pPr>
      <w:r>
        <w:rPr>
          <w:rFonts w:hint="eastAsia"/>
          <w:lang w:val="en-US" w:eastAsia="zh-CN"/>
        </w:rPr>
        <w:t>对于折现率，数据资产的折现率应与其预测收益口径相匹配，并综合考虑应用场景不确定性、数据资产质量、数据安全风险等因素的影响。</w:t>
      </w:r>
    </w:p>
    <w:p w14:paraId="056ACFE7">
      <w:pPr>
        <w:pStyle w:val="17"/>
        <w:jc w:val="left"/>
        <w:rPr>
          <w:rFonts w:hint="eastAsia"/>
          <w:lang w:val="en-US" w:eastAsia="zh-CN"/>
        </w:rPr>
      </w:pPr>
      <w:r>
        <w:rPr>
          <w:rFonts w:hint="eastAsia"/>
          <w:lang w:val="en-US" w:eastAsia="zh-CN"/>
        </w:rPr>
        <w:t>当评价对象界定为评价基准日的存量数据时以基准日后对数据进行持续更新为假设条件，采用收益法得出的评价值，应避免包含或挤占了基准日后新增数据的贡献。</w:t>
      </w:r>
    </w:p>
    <w:p w14:paraId="566FA3FD">
      <w:pPr>
        <w:pStyle w:val="20"/>
        <w:bidi w:val="0"/>
        <w:rPr>
          <w:rFonts w:hint="default"/>
          <w:lang w:val="en-US" w:eastAsia="zh-CN"/>
        </w:rPr>
      </w:pPr>
      <w:bookmarkStart w:id="131" w:name="_Toc3816"/>
      <w:bookmarkStart w:id="132" w:name="_Toc26853"/>
      <w:r>
        <w:rPr>
          <w:rFonts w:hint="eastAsia"/>
          <w:lang w:val="en-US" w:eastAsia="zh-CN"/>
        </w:rPr>
        <w:t>数据资产的经济价值</w:t>
      </w:r>
      <w:bookmarkEnd w:id="131"/>
      <w:bookmarkEnd w:id="132"/>
    </w:p>
    <w:p w14:paraId="6019172E">
      <w:pPr>
        <w:pStyle w:val="17"/>
        <w:rPr>
          <w:rFonts w:hint="eastAsia"/>
          <w:lang w:val="en-US" w:eastAsia="zh-CN"/>
        </w:rPr>
      </w:pPr>
      <w:r>
        <w:rPr>
          <w:rFonts w:hint="eastAsia"/>
          <w:lang w:val="en-US" w:eastAsia="zh-CN"/>
        </w:rPr>
        <w:t>数据资产经济价值见公式（3）：</w:t>
      </w:r>
    </w:p>
    <w:p w14:paraId="51C08BFD">
      <w:pPr>
        <w:pStyle w:val="17"/>
        <w:jc w:val="right"/>
        <w:rPr>
          <w:rFonts w:hint="eastAsia"/>
          <w:lang w:val="en-US" w:eastAsia="zh-CN"/>
        </w:rPr>
      </w:pPr>
      <w:r>
        <w:rPr>
          <w:rFonts w:hint="default"/>
          <w:position w:val="-30"/>
          <w:lang w:val="en-US" w:eastAsia="zh-CN"/>
        </w:rPr>
        <w:object>
          <v:shape id="_x0000_i1028" o:spt="75" type="#_x0000_t75" style="height:36pt;width:85.95pt;" o:ole="t" filled="f" o:preferrelative="t" stroked="f" coordsize="21600,21600">
            <v:path/>
            <v:fill on="f" focussize="0,0"/>
            <v:stroke on="f"/>
            <v:imagedata r:id="rId26" o:title=""/>
            <o:lock v:ext="edit" aspectratio="t"/>
            <w10:wrap type="none"/>
            <w10:anchorlock/>
          </v:shape>
          <o:OLEObject Type="Embed" ProgID="Equation.KSEE3" ShapeID="_x0000_i1028" DrawAspect="Content" ObjectID="_1468075728" r:id="rId25">
            <o:LockedField>false</o:LockedField>
          </o:OLEObject>
        </w:object>
      </w:r>
      <w:r>
        <w:rPr>
          <w:rFonts w:hint="eastAsia"/>
          <w:lang w:val="en-US" w:eastAsia="zh-CN"/>
        </w:rPr>
        <w:t>………………………………（3）</w:t>
      </w:r>
    </w:p>
    <w:p w14:paraId="0D1E2D4A">
      <w:pPr>
        <w:pStyle w:val="17"/>
        <w:jc w:val="left"/>
        <w:rPr>
          <w:rFonts w:hint="eastAsia"/>
          <w:lang w:val="en-US" w:eastAsia="zh-CN"/>
        </w:rPr>
      </w:pPr>
      <w:r>
        <w:rPr>
          <w:rFonts w:hint="eastAsia"/>
          <w:lang w:val="en-US" w:eastAsia="zh-CN"/>
        </w:rPr>
        <w:t>式中：</w:t>
      </w:r>
    </w:p>
    <w:p w14:paraId="0D47FE25">
      <w:pPr>
        <w:pStyle w:val="17"/>
        <w:jc w:val="left"/>
        <w:rPr>
          <w:rFonts w:hint="eastAsia"/>
          <w:lang w:val="en-US" w:eastAsia="zh-CN"/>
        </w:rPr>
      </w:pPr>
      <w:r>
        <w:rPr>
          <w:rFonts w:hint="eastAsia"/>
          <w:lang w:val="en-US" w:eastAsia="zh-CN"/>
        </w:rPr>
        <w:t>P</w:t>
      </w:r>
      <w:r>
        <w:rPr>
          <w:rFonts w:hint="eastAsia"/>
          <w:vertAlign w:val="subscript"/>
          <w:lang w:val="en-US" w:eastAsia="zh-CN"/>
        </w:rPr>
        <w:t>1</w:t>
      </w:r>
      <w:r>
        <w:rPr>
          <w:rFonts w:hint="eastAsia"/>
          <w:lang w:val="en-US" w:eastAsia="zh-CN"/>
        </w:rPr>
        <w:t>——基于收益法计算的数据资产的经济价值，单位为元；</w:t>
      </w:r>
    </w:p>
    <w:p w14:paraId="64219A23">
      <w:pPr>
        <w:pStyle w:val="17"/>
        <w:jc w:val="left"/>
        <w:rPr>
          <w:rFonts w:hint="default"/>
          <w:lang w:val="en-US" w:eastAsia="zh-CN"/>
        </w:rPr>
      </w:pPr>
      <w:r>
        <w:rPr>
          <w:rFonts w:hint="eastAsia"/>
          <w:lang w:val="en-US" w:eastAsia="zh-CN"/>
        </w:rPr>
        <w:t>R</w:t>
      </w:r>
      <w:r>
        <w:rPr>
          <w:rFonts w:hint="eastAsia"/>
          <w:vertAlign w:val="subscript"/>
          <w:lang w:val="en-US" w:eastAsia="zh-CN"/>
        </w:rPr>
        <w:t>1t</w:t>
      </w:r>
      <w:r>
        <w:rPr>
          <w:rFonts w:hint="eastAsia"/>
          <w:lang w:val="en-US" w:eastAsia="zh-CN"/>
        </w:rPr>
        <w:t>——待评价数据资产第t年的预期经济收益，单位为元；</w:t>
      </w:r>
    </w:p>
    <w:p w14:paraId="701B2872">
      <w:pPr>
        <w:pStyle w:val="17"/>
        <w:keepNext w:val="0"/>
        <w:keepLines w:val="0"/>
        <w:pageBreakBefore w:val="0"/>
        <w:widowControl/>
        <w:kinsoku/>
        <w:wordWrap/>
        <w:overflowPunct/>
        <w:topLinePunct w:val="0"/>
        <w:autoSpaceDE w:val="0"/>
        <w:autoSpaceDN w:val="0"/>
        <w:bidi w:val="0"/>
        <w:adjustRightInd/>
        <w:snapToGrid/>
        <w:ind w:left="997" w:leftChars="200" w:hanging="577" w:hangingChars="275"/>
        <w:textAlignment w:val="auto"/>
        <w:rPr>
          <w:rFonts w:hint="eastAsia"/>
          <w:lang w:val="en-US" w:eastAsia="zh-CN"/>
        </w:rPr>
      </w:pPr>
      <w:r>
        <w:rPr>
          <w:rFonts w:hint="eastAsia"/>
          <w:lang w:val="en-US" w:eastAsia="zh-CN"/>
        </w:rPr>
        <w:t>n</w:t>
      </w:r>
      <w:r>
        <w:rPr>
          <w:rFonts w:hint="eastAsia"/>
          <w:vertAlign w:val="subscript"/>
          <w:lang w:val="en-US" w:eastAsia="zh-CN"/>
        </w:rPr>
        <w:t>i</w:t>
      </w:r>
      <w:r>
        <w:rPr>
          <w:rFonts w:hint="eastAsia"/>
          <w:lang w:val="en-US" w:eastAsia="zh-CN"/>
        </w:rPr>
        <w:t>——剩余经济价值寿命,是指待评价数据资产还能产生经济价值的剩余时间,单位为年；</w:t>
      </w:r>
    </w:p>
    <w:p w14:paraId="5841F133">
      <w:pPr>
        <w:pStyle w:val="17"/>
        <w:rPr>
          <w:rFonts w:hint="eastAsia"/>
          <w:lang w:val="en-US" w:eastAsia="zh-CN"/>
        </w:rPr>
      </w:pPr>
      <w:r>
        <w:rPr>
          <w:rFonts w:hint="eastAsia"/>
          <w:lang w:val="en-US" w:eastAsia="zh-CN"/>
        </w:rPr>
        <w:t>r</w:t>
      </w:r>
      <w:r>
        <w:rPr>
          <w:rFonts w:hint="eastAsia"/>
          <w:vertAlign w:val="subscript"/>
          <w:lang w:val="en-US" w:eastAsia="zh-CN"/>
        </w:rPr>
        <w:t>1</w:t>
      </w:r>
      <w:r>
        <w:rPr>
          <w:rFonts w:hint="eastAsia"/>
          <w:lang w:val="en-US" w:eastAsia="zh-CN"/>
        </w:rPr>
        <w:t>——经济折现率,将预计未来收益折算成现值的比率,体现数据资产的财务成本（%）。</w:t>
      </w:r>
    </w:p>
    <w:p w14:paraId="4E38577C">
      <w:pPr>
        <w:pStyle w:val="20"/>
        <w:bidi w:val="0"/>
        <w:rPr>
          <w:rFonts w:hint="default"/>
          <w:lang w:val="en-US" w:eastAsia="zh-CN"/>
        </w:rPr>
      </w:pPr>
      <w:bookmarkStart w:id="133" w:name="_Toc18829"/>
      <w:bookmarkStart w:id="134" w:name="_Toc3564"/>
      <w:r>
        <w:rPr>
          <w:rFonts w:hint="eastAsia"/>
          <w:lang w:val="en-US" w:eastAsia="zh-CN"/>
        </w:rPr>
        <w:t>数据资产的社会价值</w:t>
      </w:r>
      <w:bookmarkEnd w:id="133"/>
      <w:bookmarkEnd w:id="134"/>
    </w:p>
    <w:p w14:paraId="2823BC0A">
      <w:pPr>
        <w:pStyle w:val="17"/>
        <w:rPr>
          <w:rFonts w:hint="eastAsia"/>
          <w:lang w:val="en-US" w:eastAsia="zh-CN"/>
        </w:rPr>
      </w:pPr>
      <w:r>
        <w:rPr>
          <w:rFonts w:hint="eastAsia"/>
          <w:lang w:val="en-US" w:eastAsia="zh-CN"/>
        </w:rPr>
        <w:t>数据资产社会价值见公式（4）：</w:t>
      </w:r>
    </w:p>
    <w:p w14:paraId="0C097304">
      <w:pPr>
        <w:pStyle w:val="17"/>
        <w:jc w:val="right"/>
        <w:rPr>
          <w:rFonts w:hint="eastAsia"/>
          <w:lang w:val="en-US" w:eastAsia="zh-CN"/>
        </w:rPr>
      </w:pPr>
      <w:r>
        <w:rPr>
          <w:rFonts w:hint="default"/>
          <w:position w:val="-30"/>
          <w:lang w:val="en-US" w:eastAsia="zh-CN"/>
        </w:rPr>
        <w:object>
          <v:shape id="_x0000_i1029" o:spt="75" type="#_x0000_t75" style="height:36pt;width:89pt;" o:ole="t" filled="f" o:preferrelative="t" stroked="f" coordsize="21600,21600">
            <v:path/>
            <v:fill on="f" focussize="0,0"/>
            <v:stroke on="f"/>
            <v:imagedata r:id="rId28" o:title=""/>
            <o:lock v:ext="edit" aspectratio="t"/>
            <w10:wrap type="none"/>
            <w10:anchorlock/>
          </v:shape>
          <o:OLEObject Type="Embed" ProgID="Equation.KSEE3" ShapeID="_x0000_i1029" DrawAspect="Content" ObjectID="_1468075729" r:id="rId27">
            <o:LockedField>false</o:LockedField>
          </o:OLEObject>
        </w:object>
      </w:r>
      <w:r>
        <w:rPr>
          <w:rFonts w:hint="eastAsia"/>
          <w:lang w:val="en-US" w:eastAsia="zh-CN"/>
        </w:rPr>
        <w:t>………………………………（4）</w:t>
      </w:r>
    </w:p>
    <w:p w14:paraId="567E7127">
      <w:pPr>
        <w:pStyle w:val="17"/>
        <w:jc w:val="left"/>
        <w:rPr>
          <w:rFonts w:hint="eastAsia"/>
          <w:lang w:val="en-US" w:eastAsia="zh-CN"/>
        </w:rPr>
      </w:pPr>
      <w:r>
        <w:rPr>
          <w:rFonts w:hint="eastAsia"/>
          <w:lang w:val="en-US" w:eastAsia="zh-CN"/>
        </w:rPr>
        <w:t>式中：</w:t>
      </w:r>
    </w:p>
    <w:p w14:paraId="5A88DE60">
      <w:pPr>
        <w:pStyle w:val="17"/>
        <w:jc w:val="left"/>
        <w:rPr>
          <w:rFonts w:hint="eastAsia"/>
          <w:lang w:val="en-US" w:eastAsia="zh-CN"/>
        </w:rPr>
      </w:pPr>
      <w:r>
        <w:rPr>
          <w:rFonts w:hint="eastAsia"/>
          <w:lang w:val="en-US" w:eastAsia="zh-CN"/>
        </w:rPr>
        <w:t>P</w:t>
      </w:r>
      <w:r>
        <w:rPr>
          <w:rFonts w:hint="eastAsia"/>
          <w:vertAlign w:val="subscript"/>
          <w:lang w:val="en-US" w:eastAsia="zh-CN"/>
        </w:rPr>
        <w:t>2</w:t>
      </w:r>
      <w:r>
        <w:rPr>
          <w:rFonts w:hint="eastAsia"/>
          <w:lang w:val="en-US" w:eastAsia="zh-CN"/>
        </w:rPr>
        <w:t>——基于收益法计算的数据资产的社会价值，单位为元；</w:t>
      </w:r>
    </w:p>
    <w:p w14:paraId="020550C7">
      <w:pPr>
        <w:pStyle w:val="17"/>
        <w:keepNext w:val="0"/>
        <w:keepLines w:val="0"/>
        <w:pageBreakBefore w:val="0"/>
        <w:widowControl/>
        <w:kinsoku/>
        <w:wordWrap/>
        <w:overflowPunct/>
        <w:topLinePunct w:val="0"/>
        <w:autoSpaceDE w:val="0"/>
        <w:autoSpaceDN w:val="0"/>
        <w:bidi w:val="0"/>
        <w:adjustRightInd/>
        <w:snapToGrid/>
        <w:ind w:left="1029" w:leftChars="200" w:hanging="609" w:hangingChars="290"/>
        <w:textAlignment w:val="auto"/>
        <w:rPr>
          <w:rFonts w:hint="eastAsia"/>
          <w:lang w:val="en-US" w:eastAsia="zh-CN"/>
        </w:rPr>
      </w:pPr>
      <w:r>
        <w:rPr>
          <w:rFonts w:hint="eastAsia"/>
          <w:lang w:val="en-US" w:eastAsia="zh-CN"/>
        </w:rPr>
        <w:t>P</w:t>
      </w:r>
      <w:r>
        <w:rPr>
          <w:rFonts w:hint="eastAsia"/>
          <w:vertAlign w:val="subscript"/>
          <w:lang w:val="en-US" w:eastAsia="zh-CN"/>
        </w:rPr>
        <w:t>2t</w:t>
      </w:r>
      <w:r>
        <w:rPr>
          <w:rFonts w:hint="eastAsia"/>
          <w:lang w:val="en-US" w:eastAsia="zh-CN"/>
        </w:rPr>
        <w:t>——待评价数据资产第t年的预期社会效益,单位为元。可由数据共享价值、政府治理价值、数据产业价值和数据环境价值等加权得到。数据共享价值例如数据访问、浏览、下载等价值；政府治理价值例如政府治理效率、透明度等价值；数据产业价值例如产业的就业、税收、升级等价值，数据环境价值例如数据的生态营商、健康环境等价值；</w:t>
      </w:r>
    </w:p>
    <w:p w14:paraId="60031A24">
      <w:pPr>
        <w:pStyle w:val="17"/>
        <w:keepNext w:val="0"/>
        <w:keepLines w:val="0"/>
        <w:pageBreakBefore w:val="0"/>
        <w:widowControl/>
        <w:kinsoku/>
        <w:wordWrap/>
        <w:overflowPunct/>
        <w:topLinePunct w:val="0"/>
        <w:autoSpaceDE w:val="0"/>
        <w:autoSpaceDN w:val="0"/>
        <w:bidi w:val="0"/>
        <w:adjustRightInd/>
        <w:snapToGrid/>
        <w:ind w:left="987" w:leftChars="200" w:hanging="567" w:hangingChars="270"/>
        <w:textAlignment w:val="auto"/>
        <w:rPr>
          <w:rFonts w:hint="eastAsia"/>
          <w:lang w:val="en-US" w:eastAsia="zh-CN"/>
        </w:rPr>
      </w:pPr>
      <w:r>
        <w:rPr>
          <w:rFonts w:hint="eastAsia"/>
          <w:lang w:val="en-US" w:eastAsia="zh-CN"/>
        </w:rPr>
        <w:t>n</w:t>
      </w:r>
      <w:r>
        <w:rPr>
          <w:rFonts w:hint="eastAsia"/>
          <w:vertAlign w:val="subscript"/>
          <w:lang w:val="en-US" w:eastAsia="zh-CN"/>
        </w:rPr>
        <w:t>2</w:t>
      </w:r>
      <w:r>
        <w:rPr>
          <w:rFonts w:hint="eastAsia"/>
          <w:lang w:val="en-US" w:eastAsia="zh-CN"/>
        </w:rPr>
        <w:t>——剩余社会价值寿命，是指待评价数据资产还能产生社会价值的剩余时间，单位为年；</w:t>
      </w:r>
    </w:p>
    <w:p w14:paraId="023608F0">
      <w:pPr>
        <w:pStyle w:val="17"/>
        <w:keepNext w:val="0"/>
        <w:keepLines w:val="0"/>
        <w:pageBreakBefore w:val="0"/>
        <w:widowControl/>
        <w:kinsoku/>
        <w:wordWrap/>
        <w:overflowPunct/>
        <w:topLinePunct w:val="0"/>
        <w:autoSpaceDE w:val="0"/>
        <w:autoSpaceDN w:val="0"/>
        <w:bidi w:val="0"/>
        <w:adjustRightInd/>
        <w:snapToGrid/>
        <w:ind w:left="987" w:leftChars="200" w:hanging="567" w:hangingChars="270"/>
        <w:textAlignment w:val="auto"/>
        <w:rPr>
          <w:rFonts w:hint="default"/>
          <w:lang w:val="en-US" w:eastAsia="zh-CN"/>
        </w:rPr>
      </w:pPr>
      <w:r>
        <w:rPr>
          <w:rFonts w:hint="eastAsia"/>
          <w:vertAlign w:val="baseline"/>
          <w:lang w:val="en-US" w:eastAsia="zh-CN"/>
        </w:rPr>
        <w:t>r</w:t>
      </w:r>
      <w:r>
        <w:rPr>
          <w:rFonts w:hint="eastAsia"/>
          <w:vertAlign w:val="subscript"/>
          <w:lang w:val="en-US" w:eastAsia="zh-CN"/>
        </w:rPr>
        <w:t>2</w:t>
      </w:r>
      <w:r>
        <w:rPr>
          <w:rFonts w:hint="eastAsia"/>
          <w:lang w:val="en-US" w:eastAsia="zh-CN"/>
        </w:rPr>
        <w:t>——社会折现率，将预计未来社会收益折算成现值的比率（%）。</w:t>
      </w:r>
    </w:p>
    <w:p w14:paraId="7E5ACF80">
      <w:pPr>
        <w:pStyle w:val="18"/>
        <w:bidi w:val="0"/>
        <w:rPr>
          <w:rFonts w:hint="eastAsia"/>
          <w:lang w:val="en-US" w:eastAsia="zh-CN"/>
        </w:rPr>
      </w:pPr>
      <w:bookmarkStart w:id="135" w:name="_Toc158"/>
      <w:bookmarkStart w:id="136" w:name="_Toc5074"/>
      <w:r>
        <w:rPr>
          <w:rFonts w:hint="eastAsia"/>
          <w:lang w:val="en-US" w:eastAsia="zh-CN"/>
        </w:rPr>
        <w:t>成本法</w:t>
      </w:r>
      <w:bookmarkEnd w:id="135"/>
      <w:bookmarkEnd w:id="136"/>
    </w:p>
    <w:p w14:paraId="0A76A9B0">
      <w:pPr>
        <w:pStyle w:val="20"/>
        <w:bidi w:val="0"/>
        <w:rPr>
          <w:rFonts w:hint="eastAsia"/>
          <w:lang w:val="en-US" w:eastAsia="zh-CN"/>
        </w:rPr>
      </w:pPr>
      <w:bookmarkStart w:id="137" w:name="_Toc6310"/>
      <w:r>
        <w:rPr>
          <w:rFonts w:hint="eastAsia"/>
          <w:lang w:val="en-US" w:eastAsia="zh-CN"/>
        </w:rPr>
        <w:t>概述</w:t>
      </w:r>
      <w:bookmarkEnd w:id="137"/>
    </w:p>
    <w:p w14:paraId="45301F8B">
      <w:pPr>
        <w:pStyle w:val="17"/>
        <w:spacing w:line="240" w:lineRule="auto"/>
        <w:jc w:val="left"/>
        <w:rPr>
          <w:rFonts w:hint="eastAsia"/>
          <w:lang w:val="en-US" w:eastAsia="zh-CN"/>
        </w:rPr>
      </w:pPr>
      <w:r>
        <w:rPr>
          <w:rFonts w:hint="default"/>
          <w:lang w:val="en-US" w:eastAsia="zh-CN"/>
        </w:rPr>
        <w:t>成本法是以数据资产形成过程中发生的一系列劳动消耗为基础，以成本费用来反映数据资产的价值大小</w:t>
      </w:r>
      <w:r>
        <w:rPr>
          <w:rFonts w:hint="eastAsia"/>
          <w:lang w:val="en-US" w:eastAsia="zh-CN"/>
        </w:rPr>
        <w:t>。通常适用于尚处于开发初期、尚未明确应用场景以及同质化竞争较为激烈的数据资产的评价。</w:t>
      </w:r>
    </w:p>
    <w:p w14:paraId="4A52F168">
      <w:pPr>
        <w:pStyle w:val="17"/>
        <w:spacing w:line="240" w:lineRule="auto"/>
        <w:jc w:val="left"/>
        <w:rPr>
          <w:rFonts w:hint="eastAsia"/>
          <w:lang w:val="en-US" w:eastAsia="zh-CN"/>
        </w:rPr>
      </w:pPr>
      <w:r>
        <w:rPr>
          <w:rFonts w:hint="default"/>
          <w:lang w:val="en-US" w:eastAsia="zh-CN"/>
        </w:rPr>
        <w:t>数据资产价值在重置成本的基础上</w:t>
      </w:r>
      <w:r>
        <w:rPr>
          <w:rFonts w:hint="eastAsia"/>
          <w:lang w:val="en-US" w:eastAsia="zh-CN"/>
        </w:rPr>
        <w:t>，</w:t>
      </w:r>
      <w:r>
        <w:rPr>
          <w:rFonts w:hint="default"/>
          <w:lang w:val="en-US" w:eastAsia="zh-CN"/>
        </w:rPr>
        <w:t>结合数据资产的市场价值因素，进行数据资产价值</w:t>
      </w:r>
      <w:r>
        <w:rPr>
          <w:rFonts w:hint="eastAsia"/>
          <w:lang w:val="en-US" w:eastAsia="zh-CN"/>
        </w:rPr>
        <w:t>评价</w:t>
      </w:r>
      <w:r>
        <w:rPr>
          <w:rFonts w:hint="default"/>
          <w:lang w:val="en-US" w:eastAsia="zh-CN"/>
        </w:rPr>
        <w:t>。见公式</w:t>
      </w:r>
      <w:r>
        <w:rPr>
          <w:rFonts w:hint="eastAsia"/>
          <w:lang w:val="en-US" w:eastAsia="zh-CN"/>
        </w:rPr>
        <w:t>（5）：</w:t>
      </w:r>
    </w:p>
    <w:p w14:paraId="6723C011">
      <w:pPr>
        <w:pStyle w:val="17"/>
        <w:spacing w:line="240" w:lineRule="auto"/>
        <w:jc w:val="right"/>
        <w:rPr>
          <w:rFonts w:hint="eastAsia"/>
          <w:lang w:val="en-US" w:eastAsia="zh-CN"/>
        </w:rPr>
      </w:pPr>
      <w:r>
        <w:rPr>
          <w:rFonts w:hint="default"/>
          <w:position w:val="-28"/>
          <w:lang w:val="en-US" w:eastAsia="zh-CN"/>
        </w:rPr>
        <w:object>
          <v:shape id="_x0000_i1030" o:spt="75" type="#_x0000_t75" style="height:35pt;width:91pt;" o:ole="t" filled="f" o:preferrelative="t" stroked="f" coordsize="21600,21600">
            <v:path/>
            <v:fill on="f" focussize="0,0"/>
            <v:stroke on="f"/>
            <v:imagedata r:id="rId30" o:title=""/>
            <o:lock v:ext="edit" aspectratio="t"/>
            <w10:wrap type="none"/>
            <w10:anchorlock/>
          </v:shape>
          <o:OLEObject Type="Embed" ProgID="Equation.KSEE3" ShapeID="_x0000_i1030" DrawAspect="Content" ObjectID="_1468075730" r:id="rId29">
            <o:LockedField>false</o:LockedField>
          </o:OLEObject>
        </w:object>
      </w:r>
      <w:r>
        <w:rPr>
          <w:rFonts w:hint="eastAsia"/>
          <w:lang w:val="en-US" w:eastAsia="zh-CN"/>
        </w:rPr>
        <w:t>………………………………（5）</w:t>
      </w:r>
    </w:p>
    <w:p w14:paraId="71D3B839">
      <w:pPr>
        <w:pStyle w:val="17"/>
        <w:spacing w:line="240" w:lineRule="auto"/>
        <w:jc w:val="left"/>
        <w:rPr>
          <w:rFonts w:hint="eastAsia"/>
          <w:lang w:val="en-US" w:eastAsia="zh-CN"/>
        </w:rPr>
      </w:pPr>
      <w:r>
        <w:rPr>
          <w:rFonts w:hint="eastAsia"/>
          <w:lang w:val="en-US" w:eastAsia="zh-CN"/>
        </w:rPr>
        <w:t>式中：</w:t>
      </w:r>
    </w:p>
    <w:p w14:paraId="6961504F">
      <w:pPr>
        <w:pStyle w:val="17"/>
        <w:spacing w:line="240" w:lineRule="auto"/>
        <w:jc w:val="left"/>
        <w:rPr>
          <w:rFonts w:hint="eastAsia"/>
          <w:lang w:val="en-US" w:eastAsia="zh-CN"/>
        </w:rPr>
      </w:pPr>
      <w:r>
        <w:rPr>
          <w:rFonts w:hint="eastAsia"/>
          <w:lang w:val="en-US" w:eastAsia="zh-CN"/>
        </w:rPr>
        <w:t>P——待评价数据资产的价值，单位为元；</w:t>
      </w:r>
    </w:p>
    <w:p w14:paraId="3B9BFB47">
      <w:pPr>
        <w:pStyle w:val="17"/>
        <w:keepNext w:val="0"/>
        <w:keepLines w:val="0"/>
        <w:pageBreakBefore w:val="0"/>
        <w:widowControl/>
        <w:kinsoku/>
        <w:wordWrap/>
        <w:overflowPunct/>
        <w:topLinePunct w:val="0"/>
        <w:autoSpaceDE w:val="0"/>
        <w:autoSpaceDN w:val="0"/>
        <w:bidi w:val="0"/>
        <w:adjustRightInd/>
        <w:snapToGrid/>
        <w:spacing w:line="240" w:lineRule="auto"/>
        <w:ind w:left="987" w:leftChars="200" w:hanging="567" w:hangingChars="270"/>
        <w:textAlignment w:val="auto"/>
        <w:rPr>
          <w:rFonts w:hint="eastAsia"/>
          <w:lang w:val="en-US" w:eastAsia="zh-CN"/>
        </w:rPr>
      </w:pPr>
      <w:r>
        <w:rPr>
          <w:rFonts w:hint="eastAsia"/>
          <w:lang w:val="en-US" w:eastAsia="zh-CN"/>
        </w:rPr>
        <w:t>C</w:t>
      </w:r>
      <w:r>
        <w:rPr>
          <w:rFonts w:hint="eastAsia"/>
          <w:vertAlign w:val="subscript"/>
          <w:lang w:val="en-US" w:eastAsia="zh-CN"/>
        </w:rPr>
        <w:t>i</w:t>
      </w:r>
      <w:r>
        <w:rPr>
          <w:rFonts w:hint="eastAsia"/>
          <w:lang w:val="en-US" w:eastAsia="zh-CN"/>
        </w:rPr>
        <w:t>——每个数据集重置成本,根据数据采集、储存、处理等过程的费用和运维费用估算，单位为元；</w:t>
      </w:r>
    </w:p>
    <w:p w14:paraId="4A7BCA26">
      <w:pPr>
        <w:pStyle w:val="17"/>
        <w:spacing w:line="240" w:lineRule="auto"/>
        <w:jc w:val="left"/>
        <w:rPr>
          <w:rFonts w:hint="eastAsia"/>
          <w:lang w:val="en-US" w:eastAsia="zh-CN"/>
        </w:rPr>
      </w:pPr>
      <w:r>
        <w:rPr>
          <w:rFonts w:hint="eastAsia"/>
          <w:lang w:val="en-US" w:eastAsia="zh-CN"/>
        </w:rPr>
        <w:t>n——数据集的个数（个）；</w:t>
      </w:r>
    </w:p>
    <w:p w14:paraId="4B4A7331">
      <w:pPr>
        <w:pStyle w:val="17"/>
        <w:spacing w:line="240" w:lineRule="auto"/>
        <w:jc w:val="left"/>
        <w:rPr>
          <w:rFonts w:hint="eastAsia"/>
          <w:lang w:val="en-US" w:eastAsia="zh-CN"/>
        </w:rPr>
      </w:pPr>
      <w:r>
        <w:rPr>
          <w:rFonts w:hint="eastAsia"/>
          <w:lang w:val="en-US" w:eastAsia="zh-CN"/>
        </w:rPr>
        <w:t>Q</w:t>
      </w:r>
      <w:r>
        <w:rPr>
          <w:rFonts w:hint="eastAsia"/>
          <w:vertAlign w:val="subscript"/>
          <w:lang w:val="en-US" w:eastAsia="zh-CN"/>
        </w:rPr>
        <w:t>i</w:t>
      </w:r>
      <w:r>
        <w:rPr>
          <w:rFonts w:hint="eastAsia"/>
          <w:lang w:val="en-US" w:eastAsia="zh-CN"/>
        </w:rPr>
        <w:t>——数据资产价值影响度（%）；</w:t>
      </w:r>
    </w:p>
    <w:p w14:paraId="246C520A">
      <w:pPr>
        <w:pStyle w:val="17"/>
        <w:spacing w:line="240" w:lineRule="auto"/>
        <w:jc w:val="left"/>
        <w:rPr>
          <w:rFonts w:hint="eastAsia"/>
          <w:lang w:val="en-US" w:eastAsia="zh-CN"/>
        </w:rPr>
      </w:pPr>
      <w:r>
        <w:rPr>
          <w:rFonts w:hint="eastAsia"/>
          <w:lang w:val="en-US" w:eastAsia="zh-CN"/>
        </w:rPr>
        <w:t>b——数据资产价值影响度系数（%）。</w:t>
      </w:r>
    </w:p>
    <w:p w14:paraId="654C2C0C">
      <w:pPr>
        <w:pStyle w:val="20"/>
        <w:bidi w:val="0"/>
        <w:rPr>
          <w:rFonts w:hint="eastAsia"/>
          <w:lang w:val="en-US" w:eastAsia="zh-CN"/>
        </w:rPr>
      </w:pPr>
      <w:bookmarkStart w:id="138" w:name="_Toc32743"/>
      <w:r>
        <w:rPr>
          <w:rFonts w:hint="eastAsia"/>
          <w:lang w:val="en-US" w:eastAsia="zh-CN"/>
        </w:rPr>
        <w:t>测算要求</w:t>
      </w:r>
      <w:bookmarkEnd w:id="138"/>
    </w:p>
    <w:p w14:paraId="4BF8E07B">
      <w:pPr>
        <w:pStyle w:val="17"/>
        <w:keepNext w:val="0"/>
        <w:keepLines w:val="0"/>
        <w:pageBreakBefore w:val="0"/>
        <w:widowControl/>
        <w:numPr>
          <w:ilvl w:val="0"/>
          <w:numId w:val="0"/>
        </w:numPr>
        <w:kinsoku/>
        <w:wordWrap/>
        <w:overflowPunct/>
        <w:topLinePunct w:val="0"/>
        <w:autoSpaceDE w:val="0"/>
        <w:autoSpaceDN w:val="0"/>
        <w:bidi w:val="0"/>
        <w:adjustRightInd/>
        <w:snapToGrid/>
        <w:ind w:firstLine="420" w:firstLineChars="200"/>
        <w:textAlignment w:val="auto"/>
        <w:rPr>
          <w:rFonts w:hint="default"/>
          <w:lang w:val="en-US" w:eastAsia="zh-CN"/>
        </w:rPr>
      </w:pPr>
      <w:r>
        <w:rPr>
          <w:rFonts w:hint="eastAsia"/>
          <w:lang w:val="en-US" w:eastAsia="zh-CN"/>
        </w:rPr>
        <w:t>在测算数据资产重置成本时，应包括前期费用、直接成本、间接成本、机会成本和相关税费等，具体内容如下：</w:t>
      </w:r>
    </w:p>
    <w:p w14:paraId="17EA3C19">
      <w:pPr>
        <w:pStyle w:val="17"/>
        <w:keepNext w:val="0"/>
        <w:keepLines w:val="0"/>
        <w:pageBreakBefore w:val="0"/>
        <w:widowControl/>
        <w:numPr>
          <w:ilvl w:val="0"/>
          <w:numId w:val="9"/>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default"/>
          <w:lang w:val="en-US" w:eastAsia="zh-CN"/>
        </w:rPr>
        <w:t>前期费用主要指数据资产对应的前提调研、数据模型设计和规划等费用</w:t>
      </w:r>
      <w:r>
        <w:rPr>
          <w:rFonts w:hint="eastAsia"/>
          <w:lang w:val="en-US" w:eastAsia="zh-CN"/>
        </w:rPr>
        <w:t>；</w:t>
      </w:r>
    </w:p>
    <w:p w14:paraId="41C3F7EF">
      <w:pPr>
        <w:pStyle w:val="17"/>
        <w:keepNext w:val="0"/>
        <w:keepLines w:val="0"/>
        <w:pageBreakBefore w:val="0"/>
        <w:widowControl/>
        <w:numPr>
          <w:ilvl w:val="0"/>
          <w:numId w:val="9"/>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default"/>
          <w:lang w:val="en-US" w:eastAsia="zh-CN"/>
        </w:rPr>
        <w:t>直接成本主要包括数据采集成本、数据脱敏、清洗标注、整合、分析成本、数据更新成本、数据存储成本</w:t>
      </w:r>
      <w:r>
        <w:rPr>
          <w:rFonts w:hint="eastAsia"/>
          <w:lang w:val="en-US" w:eastAsia="zh-CN"/>
        </w:rPr>
        <w:t>；</w:t>
      </w:r>
    </w:p>
    <w:p w14:paraId="795234E1">
      <w:pPr>
        <w:pStyle w:val="17"/>
        <w:keepNext w:val="0"/>
        <w:keepLines w:val="0"/>
        <w:pageBreakBefore w:val="0"/>
        <w:widowControl/>
        <w:numPr>
          <w:ilvl w:val="0"/>
          <w:numId w:val="9"/>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eastAsia"/>
          <w:lang w:val="en-US" w:eastAsia="zh-CN"/>
        </w:rPr>
        <w:t>间接成本主要包括数据资产应分摊的管理费用、软件使用费、维护数据安全对应的成本；</w:t>
      </w:r>
    </w:p>
    <w:p w14:paraId="0519A6A1">
      <w:pPr>
        <w:pStyle w:val="17"/>
        <w:keepNext w:val="0"/>
        <w:keepLines w:val="0"/>
        <w:pageBreakBefore w:val="0"/>
        <w:widowControl/>
        <w:numPr>
          <w:ilvl w:val="0"/>
          <w:numId w:val="9"/>
        </w:numPr>
        <w:kinsoku/>
        <w:wordWrap/>
        <w:overflowPunct/>
        <w:topLinePunct w:val="0"/>
        <w:autoSpaceDE w:val="0"/>
        <w:autoSpaceDN w:val="0"/>
        <w:bidi w:val="0"/>
        <w:adjustRightInd/>
        <w:snapToGrid/>
        <w:ind w:left="840" w:leftChars="200" w:hanging="420" w:hangingChars="200"/>
        <w:textAlignment w:val="auto"/>
        <w:rPr>
          <w:rFonts w:hint="eastAsia"/>
          <w:lang w:val="en-US" w:eastAsia="zh-CN"/>
        </w:rPr>
      </w:pPr>
      <w:r>
        <w:rPr>
          <w:rFonts w:hint="eastAsia"/>
          <w:lang w:val="en-US" w:eastAsia="zh-CN"/>
        </w:rPr>
        <w:t>机会成本是指数据资产投资应获得的报酬水平，也可以视为数据资产的应用价值，即应用数据资产带来的超过其成本的那部分价值。</w:t>
      </w:r>
    </w:p>
    <w:p w14:paraId="1486A57F">
      <w:pPr>
        <w:pStyle w:val="18"/>
        <w:bidi w:val="0"/>
        <w:rPr>
          <w:rFonts w:hint="default"/>
          <w:lang w:val="en-US" w:eastAsia="zh-CN"/>
        </w:rPr>
      </w:pPr>
      <w:bookmarkStart w:id="139" w:name="_Toc32002"/>
      <w:bookmarkStart w:id="140" w:name="_Toc24468"/>
      <w:r>
        <w:rPr>
          <w:rFonts w:hint="eastAsia"/>
          <w:lang w:val="en-US" w:eastAsia="zh-CN"/>
        </w:rPr>
        <w:t>综合评价法</w:t>
      </w:r>
      <w:bookmarkEnd w:id="139"/>
      <w:bookmarkEnd w:id="140"/>
    </w:p>
    <w:p w14:paraId="0D905E16">
      <w:pPr>
        <w:pStyle w:val="17"/>
        <w:rPr>
          <w:rFonts w:hint="eastAsia" w:cs="Times New Roman"/>
          <w:lang w:val="en-US" w:eastAsia="zh-CN"/>
        </w:rPr>
      </w:pPr>
      <w:r>
        <w:rPr>
          <w:rFonts w:hint="eastAsia" w:cs="Times New Roman"/>
          <w:lang w:val="en-US" w:eastAsia="zh-CN"/>
        </w:rPr>
        <w:t>综合评价法的计算方法见公式（6）：</w:t>
      </w:r>
    </w:p>
    <w:p w14:paraId="0CEE1F39">
      <w:pPr>
        <w:pStyle w:val="17"/>
        <w:jc w:val="right"/>
        <w:rPr>
          <w:rFonts w:hint="eastAsia"/>
          <w:lang w:val="en-US" w:eastAsia="zh-CN"/>
        </w:rPr>
      </w:pPr>
      <w:r>
        <w:rPr>
          <w:rFonts w:hint="default"/>
          <w:position w:val="-12"/>
          <w:lang w:val="en-US" w:eastAsia="zh-CN"/>
        </w:rPr>
        <w:object>
          <v:shape id="_x0000_i1031" o:spt="75" type="#_x0000_t75" style="height:18pt;width:141pt;" o:ole="t" filled="f" o:preferrelative="t" stroked="f" coordsize="21600,21600">
            <v:path/>
            <v:fill on="f" focussize="0,0"/>
            <v:stroke on="f"/>
            <v:imagedata r:id="rId32" o:title=""/>
            <o:lock v:ext="edit" aspectratio="t"/>
            <w10:wrap type="none"/>
            <w10:anchorlock/>
          </v:shape>
          <o:OLEObject Type="Embed" ProgID="Equation.KSEE3" ShapeID="_x0000_i1031" DrawAspect="Content" ObjectID="_1468075731" r:id="rId31">
            <o:LockedField>false</o:LockedField>
          </o:OLEObject>
        </w:object>
      </w:r>
      <w:r>
        <w:rPr>
          <w:rFonts w:hint="eastAsia"/>
          <w:lang w:val="en-US" w:eastAsia="zh-CN"/>
        </w:rPr>
        <w:t>………………………………（6）</w:t>
      </w:r>
    </w:p>
    <w:p w14:paraId="3C05B0E1">
      <w:pPr>
        <w:pStyle w:val="17"/>
        <w:rPr>
          <w:rFonts w:hint="eastAsia" w:cs="Times New Roman"/>
          <w:lang w:val="en-US" w:eastAsia="zh-CN"/>
        </w:rPr>
      </w:pPr>
      <w:r>
        <w:rPr>
          <w:rFonts w:hint="eastAsia" w:cs="Times New Roman"/>
          <w:lang w:val="en-US" w:eastAsia="zh-CN"/>
        </w:rPr>
        <w:t>式中：</w:t>
      </w:r>
    </w:p>
    <w:p w14:paraId="5313CAB5">
      <w:pPr>
        <w:pStyle w:val="17"/>
        <w:rPr>
          <w:rFonts w:hint="eastAsia" w:cs="Times New Roman"/>
          <w:lang w:val="en-US" w:eastAsia="zh-CN"/>
        </w:rPr>
      </w:pPr>
      <w:r>
        <w:rPr>
          <w:rFonts w:hint="eastAsia" w:cs="Times New Roman"/>
          <w:lang w:val="en-US" w:eastAsia="zh-CN"/>
        </w:rPr>
        <w:t>P——待评价数据资产的价值；</w:t>
      </w:r>
    </w:p>
    <w:p w14:paraId="437B7EC1">
      <w:pPr>
        <w:pStyle w:val="17"/>
        <w:rPr>
          <w:rFonts w:hint="eastAsia" w:cs="Times New Roman"/>
          <w:lang w:val="en-US" w:eastAsia="zh-CN"/>
        </w:rPr>
      </w:pPr>
      <w:r>
        <w:rPr>
          <w:rFonts w:hint="eastAsia" w:cs="Times New Roman"/>
          <w:lang w:val="en-US" w:eastAsia="zh-CN"/>
        </w:rPr>
        <w:t>a</w:t>
      </w:r>
      <w:r>
        <w:rPr>
          <w:rFonts w:hint="eastAsia" w:cs="Times New Roman"/>
          <w:vertAlign w:val="subscript"/>
          <w:lang w:val="en-US" w:eastAsia="zh-CN"/>
        </w:rPr>
        <w:t>1</w:t>
      </w:r>
      <w:r>
        <w:rPr>
          <w:rFonts w:hint="eastAsia" w:cs="Times New Roman"/>
          <w:lang w:val="en-US" w:eastAsia="zh-CN"/>
        </w:rPr>
        <w:t>——成本法计量数据资产价值的权重系数（%）；</w:t>
      </w:r>
    </w:p>
    <w:p w14:paraId="4F2B4043">
      <w:pPr>
        <w:pStyle w:val="17"/>
        <w:rPr>
          <w:rFonts w:hint="eastAsia" w:cs="Times New Roman"/>
          <w:lang w:val="en-US" w:eastAsia="zh-CN"/>
        </w:rPr>
      </w:pPr>
      <w:r>
        <w:rPr>
          <w:rFonts w:hint="eastAsia" w:cs="Times New Roman"/>
          <w:lang w:val="en-US" w:eastAsia="zh-CN"/>
        </w:rPr>
        <w:t>P</w:t>
      </w:r>
      <w:r>
        <w:rPr>
          <w:rFonts w:hint="eastAsia" w:cs="Times New Roman"/>
          <w:vertAlign w:val="subscript"/>
          <w:lang w:val="en-US" w:eastAsia="zh-CN"/>
        </w:rPr>
        <w:t>1</w:t>
      </w:r>
      <w:r>
        <w:rPr>
          <w:rFonts w:hint="eastAsia" w:cs="Times New Roman"/>
          <w:lang w:val="en-US" w:eastAsia="zh-CN"/>
        </w:rPr>
        <w:t>——用成本法计量的数据资产价值，单位为元；</w:t>
      </w:r>
    </w:p>
    <w:p w14:paraId="129D9948">
      <w:pPr>
        <w:pStyle w:val="17"/>
        <w:rPr>
          <w:rFonts w:hint="eastAsia" w:cs="Times New Roman"/>
          <w:lang w:val="en-US" w:eastAsia="zh-CN"/>
        </w:rPr>
      </w:pPr>
      <w:r>
        <w:rPr>
          <w:rFonts w:hint="eastAsia" w:cs="Times New Roman"/>
          <w:lang w:val="en-US" w:eastAsia="zh-CN"/>
        </w:rPr>
        <w:t>a</w:t>
      </w:r>
      <w:r>
        <w:rPr>
          <w:rFonts w:hint="eastAsia" w:cs="Times New Roman"/>
          <w:vertAlign w:val="subscript"/>
          <w:lang w:val="en-US" w:eastAsia="zh-CN"/>
        </w:rPr>
        <w:t>2</w:t>
      </w:r>
      <w:r>
        <w:rPr>
          <w:rFonts w:hint="eastAsia" w:cs="Times New Roman"/>
          <w:lang w:val="en-US" w:eastAsia="zh-CN"/>
        </w:rPr>
        <w:t>——市场法计量数据资产价值的权重系数（%）；</w:t>
      </w:r>
    </w:p>
    <w:p w14:paraId="50B74083">
      <w:pPr>
        <w:pStyle w:val="17"/>
        <w:rPr>
          <w:rFonts w:hint="eastAsia" w:cs="Times New Roman"/>
          <w:lang w:val="en-US" w:eastAsia="zh-CN"/>
        </w:rPr>
      </w:pPr>
      <w:r>
        <w:rPr>
          <w:rFonts w:hint="eastAsia" w:cs="Times New Roman"/>
          <w:lang w:val="en-US" w:eastAsia="zh-CN"/>
        </w:rPr>
        <w:t>P</w:t>
      </w:r>
      <w:r>
        <w:rPr>
          <w:rFonts w:hint="eastAsia" w:cs="Times New Roman"/>
          <w:vertAlign w:val="subscript"/>
          <w:lang w:val="en-US" w:eastAsia="zh-CN"/>
        </w:rPr>
        <w:t>2</w:t>
      </w:r>
      <w:r>
        <w:rPr>
          <w:rFonts w:hint="eastAsia" w:cs="Times New Roman"/>
          <w:lang w:val="en-US" w:eastAsia="zh-CN"/>
        </w:rPr>
        <w:t>——用市场法计量的数据资产价值，单位为元；</w:t>
      </w:r>
    </w:p>
    <w:p w14:paraId="47E98EBD">
      <w:pPr>
        <w:pStyle w:val="17"/>
        <w:rPr>
          <w:rFonts w:hint="eastAsia" w:cs="Times New Roman"/>
          <w:lang w:val="en-US" w:eastAsia="zh-CN"/>
        </w:rPr>
      </w:pPr>
      <w:r>
        <w:rPr>
          <w:rFonts w:hint="eastAsia" w:cs="Times New Roman"/>
          <w:lang w:val="en-US" w:eastAsia="zh-CN"/>
        </w:rPr>
        <w:t>a</w:t>
      </w:r>
      <w:r>
        <w:rPr>
          <w:rFonts w:hint="eastAsia" w:cs="Times New Roman"/>
          <w:vertAlign w:val="subscript"/>
          <w:lang w:val="en-US" w:eastAsia="zh-CN"/>
        </w:rPr>
        <w:t>3</w:t>
      </w:r>
      <w:r>
        <w:rPr>
          <w:rFonts w:hint="eastAsia" w:cs="Times New Roman"/>
          <w:lang w:val="en-US" w:eastAsia="zh-CN"/>
        </w:rPr>
        <w:t>——收益法计量数据资产价值的权重系数（%）；</w:t>
      </w:r>
    </w:p>
    <w:p w14:paraId="1DE58A0C">
      <w:pPr>
        <w:pStyle w:val="17"/>
        <w:rPr>
          <w:rFonts w:hint="default" w:cs="Times New Roman"/>
          <w:lang w:val="en-US" w:eastAsia="zh-CN"/>
        </w:rPr>
      </w:pPr>
      <w:r>
        <w:rPr>
          <w:rFonts w:hint="eastAsia" w:cs="Times New Roman"/>
          <w:lang w:val="en-US" w:eastAsia="zh-CN"/>
        </w:rPr>
        <w:t>P</w:t>
      </w:r>
      <w:r>
        <w:rPr>
          <w:rFonts w:hint="eastAsia" w:cs="Times New Roman"/>
          <w:vertAlign w:val="subscript"/>
          <w:lang w:val="en-US" w:eastAsia="zh-CN"/>
        </w:rPr>
        <w:t>3</w:t>
      </w:r>
      <w:r>
        <w:rPr>
          <w:rFonts w:hint="eastAsia" w:cs="Times New Roman"/>
          <w:lang w:val="en-US" w:eastAsia="zh-CN"/>
        </w:rPr>
        <w:t>——用收益法计量的数据资产价值，单位为元。</w:t>
      </w:r>
    </w:p>
    <w:p w14:paraId="1A46F466">
      <w:pPr>
        <w:pStyle w:val="17"/>
        <w:rPr>
          <w:rFonts w:hint="eastAsia"/>
          <w:lang w:val="en-US" w:eastAsia="zh-CN"/>
        </w:rPr>
      </w:pPr>
    </w:p>
    <w:p w14:paraId="45E5A331">
      <w:pPr>
        <w:pStyle w:val="4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outlineLvl w:val="0"/>
        <w:rPr>
          <w:rFonts w:hint="default"/>
          <w:color w:val="auto"/>
          <w:lang w:val="en-US" w:eastAsia="zh-CN"/>
        </w:rPr>
      </w:pPr>
    </w:p>
    <w:bookmarkEnd w:id="124"/>
    <w:p w14:paraId="4B4D853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color w:val="auto"/>
          <w:sz w:val="21"/>
          <w:szCs w:val="21"/>
          <w:highlight w:val="none"/>
          <w:lang w:val="en-US" w:eastAsia="zh-CN"/>
        </w:rPr>
      </w:pPr>
      <w:r>
        <w:rPr>
          <w:rFonts w:hint="default"/>
          <w:lang w:val="en-US" w:eastAsia="zh-CN"/>
        </w:rPr>
        <w:br w:type="page"/>
      </w:r>
      <w:bookmarkStart w:id="141" w:name="_Toc6461"/>
      <w:bookmarkEnd w:id="141"/>
      <w:bookmarkStart w:id="142" w:name="_Toc20731"/>
      <w:bookmarkEnd w:id="142"/>
      <w:bookmarkStart w:id="143" w:name="_Toc9036"/>
      <w:bookmarkEnd w:id="143"/>
      <w:bookmarkStart w:id="144" w:name="_Toc30628"/>
      <w:bookmarkStart w:id="145" w:name="_Toc13216"/>
      <w:bookmarkStart w:id="146" w:name="_Toc21214"/>
      <w:bookmarkStart w:id="147" w:name="_Toc27211"/>
      <w:bookmarkStart w:id="148" w:name="_Toc12198"/>
      <w:bookmarkStart w:id="149" w:name="_Toc7468"/>
      <w:bookmarkStart w:id="150" w:name="_Toc19222"/>
      <w:bookmarkStart w:id="151" w:name="_Toc15863"/>
      <w:bookmarkStart w:id="152" w:name="_Toc17505"/>
      <w:bookmarkStart w:id="153" w:name="_Toc25828"/>
      <w:bookmarkStart w:id="154" w:name="_Toc28935"/>
      <w:bookmarkStart w:id="155" w:name="_Toc8281"/>
      <w:bookmarkStart w:id="156" w:name="_Toc5367"/>
      <w:bookmarkStart w:id="157" w:name="_Toc28824"/>
      <w:bookmarkStart w:id="158" w:name="_Toc11116"/>
      <w:bookmarkStart w:id="159" w:name="_Toc30458"/>
      <w:r>
        <w:rPr>
          <w:rStyle w:val="19"/>
          <w:rFonts w:hint="eastAsia"/>
          <w:lang w:val="en-US" w:eastAsia="zh-CN"/>
        </w:rPr>
        <w:t>参　考　文　献</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2D14A991">
      <w:pPr>
        <w:pStyle w:val="2"/>
        <w:keepNext w:val="0"/>
        <w:keepLines w:val="0"/>
        <w:pageBreakBefore w:val="0"/>
        <w:widowControl/>
        <w:numPr>
          <w:ilvl w:val="0"/>
          <w:numId w:val="10"/>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GB/T 40685-2021  信息技术服务  数据资产  管理要求</w:t>
      </w:r>
    </w:p>
    <w:p w14:paraId="3CA1D63D">
      <w:pPr>
        <w:pStyle w:val="2"/>
        <w:keepNext w:val="0"/>
        <w:keepLines w:val="0"/>
        <w:pageBreakBefore w:val="0"/>
        <w:widowControl/>
        <w:numPr>
          <w:ilvl w:val="0"/>
          <w:numId w:val="10"/>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DB3301/T 0427-2023  数据知识产权价值评估指南</w:t>
      </w:r>
    </w:p>
    <w:p w14:paraId="055E092A">
      <w:pPr>
        <w:pStyle w:val="2"/>
        <w:keepNext w:val="0"/>
        <w:keepLines w:val="0"/>
        <w:pageBreakBefore w:val="0"/>
        <w:widowControl/>
        <w:numPr>
          <w:ilvl w:val="0"/>
          <w:numId w:val="10"/>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DB21/T 3890-2023  工业数据流通  数据价值管理指南</w:t>
      </w:r>
    </w:p>
    <w:p w14:paraId="2A037FF6">
      <w:pPr>
        <w:pStyle w:val="2"/>
        <w:keepNext w:val="0"/>
        <w:keepLines w:val="0"/>
        <w:pageBreakBefore w:val="0"/>
        <w:widowControl/>
        <w:numPr>
          <w:ilvl w:val="0"/>
          <w:numId w:val="10"/>
        </w:numPr>
        <w:kinsoku/>
        <w:wordWrap/>
        <w:overflowPunct/>
        <w:topLinePunct w:val="0"/>
        <w:autoSpaceDE/>
        <w:autoSpaceDN/>
        <w:bidi w:val="0"/>
        <w:adjustRightInd/>
        <w:snapToGrid/>
        <w:spacing w:line="240" w:lineRule="auto"/>
        <w:ind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bCs/>
          <w:color w:val="000000"/>
          <w:kern w:val="0"/>
          <w:sz w:val="21"/>
          <w:szCs w:val="21"/>
          <w:lang w:val="en-US" w:eastAsia="zh-CN" w:bidi="ar"/>
        </w:rPr>
        <w:t xml:space="preserve">DB21/T 3895-2023  工业数据流通 </w:t>
      </w:r>
      <w:r>
        <w:rPr>
          <w:rFonts w:hint="eastAsia" w:cs="宋体"/>
          <w:b w:val="0"/>
          <w:bCs/>
          <w:color w:val="000000"/>
          <w:kern w:val="0"/>
          <w:sz w:val="21"/>
          <w:szCs w:val="21"/>
          <w:lang w:val="en-US" w:eastAsia="zh-CN" w:bidi="ar"/>
        </w:rPr>
        <w:t xml:space="preserve"> </w:t>
      </w:r>
      <w:r>
        <w:rPr>
          <w:rFonts w:hint="eastAsia" w:ascii="宋体" w:hAnsi="宋体" w:eastAsia="宋体" w:cs="宋体"/>
          <w:b w:val="0"/>
          <w:bCs/>
          <w:color w:val="000000"/>
          <w:kern w:val="0"/>
          <w:sz w:val="21"/>
          <w:szCs w:val="21"/>
          <w:lang w:val="en-US" w:eastAsia="zh-CN" w:bidi="ar"/>
        </w:rPr>
        <w:t>通用安全要求</w:t>
      </w:r>
    </w:p>
    <w:p w14:paraId="404333C2">
      <w:pPr>
        <w:pStyle w:val="44"/>
        <w:framePr w:wrap="around" w:vAnchor="text" w:hAnchor="page" w:x="4160" w:y="332"/>
        <w:jc w:val="center"/>
        <w:rPr>
          <w:rFonts w:hint="default"/>
          <w:lang w:val="en-US" w:eastAsia="zh-CN"/>
        </w:rPr>
      </w:pPr>
      <w:r>
        <w:t>________________________________</w:t>
      </w:r>
    </w:p>
    <w:sectPr>
      <w:headerReference r:id="rId13" w:type="default"/>
      <w:footerReference r:id="rId15" w:type="default"/>
      <w:headerReference r:id="rId14" w:type="even"/>
      <w:footerReference r:id="rId16" w:type="even"/>
      <w:pgSz w:w="11906" w:h="16838"/>
      <w:pgMar w:top="1417" w:right="1134" w:bottom="1417" w:left="1134"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BB74D">
    <w:pPr>
      <w:pStyle w:val="8"/>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82375B">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7682375B">
                    <w:pPr>
                      <w:pStyle w:val="8"/>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2</w:t>
                    </w:r>
                    <w:r>
                      <w:rPr>
                        <w:rFonts w:hint="eastAsia" w:ascii="宋体" w:hAnsi="宋体" w:eastAsia="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082F3">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F37E0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2EF37E0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0B51B">
    <w:pPr>
      <w:pStyle w:val="4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6647AC">
                          <w:pPr>
                            <w:pStyle w:val="41"/>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5MOzf4QEAAM4DAAAOAAAA&#10;AAAAAAEAIAAAAB4BAABkcnMvZTJvRG9jLnhtbFBLBQYAAAAABgAGAFkBAABxBQAAAAA=&#10;">
              <v:fill on="f" focussize="0,0"/>
              <v:stroke on="f"/>
              <v:imagedata o:title=""/>
              <o:lock v:ext="edit" aspectratio="f"/>
              <v:textbox inset="0mm,0mm,0mm,0mm" style="mso-fit-shape-to-text:t;">
                <w:txbxContent>
                  <w:p w14:paraId="336647AC">
                    <w:pPr>
                      <w:pStyle w:val="41"/>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0037F">
    <w:pPr>
      <w:pStyle w:val="4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88EE607">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6CiY6AgAAc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HugomOgIAAHEEAAAOAAAAAAAAAAEAIAAAAB8BAABkcnMvZTJvRG9j&#10;LnhtbFBLBQYAAAAABgAGAFkBAADLBQAAAAA=&#10;">
              <v:fill on="f" focussize="0,0"/>
              <v:stroke on="f" weight="0.5pt"/>
              <v:imagedata o:title=""/>
              <o:lock v:ext="edit" aspectratio="f"/>
              <v:textbox inset="0mm,0mm,0mm,0mm" style="mso-fit-shape-to-text:t;">
                <w:txbxContent>
                  <w:p w14:paraId="288EE607">
                    <w:pPr>
                      <w:pStyle w:val="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8353F">
    <w:pPr>
      <w:pStyle w:val="41"/>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2C2F761">
                          <w:pPr>
                            <w:pStyle w:val="4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MVFfuIBAADOAwAADgAA&#10;AAAAAAABACAAAAAeAQAAZHJzL2Uyb0RvYy54bWxQSwUGAAAAAAYABgBZAQAAcgUAAAAA&#10;">
              <v:fill on="f" focussize="0,0"/>
              <v:stroke on="f"/>
              <v:imagedata o:title=""/>
              <o:lock v:ext="edit" aspectratio="f"/>
              <v:textbox inset="0mm,0mm,0mm,0mm" style="mso-fit-shape-to-text:t;">
                <w:txbxContent>
                  <w:p w14:paraId="32C2F761">
                    <w:pPr>
                      <w:pStyle w:val="4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1E72B">
    <w:pPr>
      <w:pStyle w:val="42"/>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8031618">
                          <w:pPr>
                            <w:pStyle w:val="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28031618">
                    <w:pPr>
                      <w:pStyle w:val="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5E55F">
    <w:pPr>
      <w:pStyle w:val="9"/>
      <w:pBdr>
        <w:bottom w:val="none" w:color="auto" w:sz="0" w:space="1"/>
      </w:pBdr>
      <w:rPr>
        <w:rFonts w:hint="default" w:eastAsia="宋体"/>
        <w:lang w:val="en-US" w:eastAsia="zh-CN"/>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548BB">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DC15A">
    <w:pPr>
      <w:pStyle w:val="9"/>
      <w:jc w:val="right"/>
      <w:rPr>
        <w:rFonts w:hint="default" w:eastAsia="宋体"/>
        <w:lang w:val="en-US"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21</w:t>
    </w:r>
    <w:r>
      <w:rPr>
        <w:rFonts w:hint="eastAsia" w:ascii="黑体" w:hAnsi="黑体" w:eastAsia="黑体" w:cs="黑体"/>
        <w:sz w:val="21"/>
        <w:szCs w:val="21"/>
        <w:lang w:eastAsia="zh-CN"/>
      </w:rPr>
      <w:t>/T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AA6D5">
    <w:pPr>
      <w:pStyle w:val="9"/>
      <w:ind w:firstLine="6510" w:firstLineChars="3100"/>
      <w:rPr>
        <w:rFonts w:hint="eastAsia" w:ascii="黑体" w:hAnsi="黑体" w:eastAsia="黑体" w:cs="黑体"/>
        <w:sz w:val="21"/>
        <w:szCs w:val="21"/>
      </w:rPr>
    </w:pPr>
    <w:r>
      <w:rPr>
        <w:rFonts w:hint="eastAsia" w:ascii="黑体" w:hAnsi="黑体" w:eastAsia="黑体" w:cs="黑体"/>
        <w:sz w:val="21"/>
        <w:szCs w:val="21"/>
        <w:lang w:eastAsia="zh-CN"/>
      </w:rPr>
      <w:t>DBXX/T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E46B6">
    <w:pPr>
      <w:pStyle w:val="39"/>
      <w:pBdr>
        <w:bottom w:val="none" w:color="auto" w:sz="0" w:space="0"/>
      </w:pBdr>
      <w:jc w:val="lef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8366">
    <w:pPr>
      <w:pStyle w:val="40"/>
      <w:pBdr>
        <w:bottom w:val="none" w:color="auto" w:sz="0" w:space="0"/>
      </w:pBdr>
      <w:jc w:val="both"/>
    </w:pPr>
    <w:r>
      <w:t>DB21/T XXXXX—20</w:t>
    </w:r>
    <w:r>
      <w:rPr>
        <w:rFonts w:hint="eastAsia"/>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EFEFC">
    <w:pPr>
      <w:pStyle w:val="39"/>
      <w:pBdr>
        <w:bottom w:val="none" w:color="auto" w:sz="0" w:space="0"/>
      </w:pBdr>
      <w:jc w:val="right"/>
      <w:rPr>
        <w:rFonts w:hint="eastAsia" w:eastAsia="黑体"/>
        <w:lang w:eastAsia="zh-CN"/>
      </w:rPr>
    </w:pPr>
    <w:r>
      <w:rPr>
        <w:rFonts w:hint="eastAsia" w:eastAsia="黑体"/>
        <w:lang w:eastAsia="zh-CN"/>
      </w:rPr>
      <w:t>DB</w:t>
    </w:r>
    <w:r>
      <w:rPr>
        <w:rFonts w:hint="eastAsia"/>
        <w:lang w:val="en-US" w:eastAsia="zh-CN"/>
      </w:rPr>
      <w:t>21</w:t>
    </w:r>
    <w:r>
      <w:rPr>
        <w:rFonts w:hint="eastAsia" w:eastAsia="黑体"/>
        <w:lang w:eastAsia="zh-CN"/>
      </w:rPr>
      <w:t>/T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B5DB6">
    <w:pPr>
      <w:pStyle w:val="40"/>
      <w:pBdr>
        <w:bottom w:val="none" w:color="auto" w:sz="0" w:space="0"/>
      </w:pBdr>
      <w:jc w:val="both"/>
    </w:pPr>
    <w:r>
      <w:t>DB21/T XXXXX—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30C46"/>
    <w:multiLevelType w:val="multilevel"/>
    <w:tmpl w:val="8E330C46"/>
    <w:lvl w:ilvl="0" w:tentative="0">
      <w:start w:val="1"/>
      <w:numFmt w:val="upperLetter"/>
      <w:pStyle w:val="46"/>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A5D015B7"/>
    <w:multiLevelType w:val="singleLevel"/>
    <w:tmpl w:val="A5D015B7"/>
    <w:lvl w:ilvl="0" w:tentative="0">
      <w:start w:val="1"/>
      <w:numFmt w:val="lowerLetter"/>
      <w:suff w:val="space"/>
      <w:lvlText w:val="%1）"/>
      <w:lvlJc w:val="left"/>
    </w:lvl>
  </w:abstractNum>
  <w:abstractNum w:abstractNumId="2">
    <w:nsid w:val="A61A7843"/>
    <w:multiLevelType w:val="multilevel"/>
    <w:tmpl w:val="A61A7843"/>
    <w:lvl w:ilvl="0" w:tentative="0">
      <w:start w:val="1"/>
      <w:numFmt w:val="upperLetter"/>
      <w:suff w:val="nothing"/>
      <w:lvlText w:val="附　录　%1"/>
      <w:lvlJc w:val="left"/>
      <w:pPr>
        <w:tabs>
          <w:tab w:val="left" w:pos="0"/>
        </w:tabs>
        <w:ind w:left="432" w:hanging="432"/>
      </w:pPr>
      <w:rPr>
        <w:rFonts w:hint="default" w:ascii="黑体" w:hAnsi="黑体" w:eastAsia="黑体" w:cs="黑体"/>
        <w:sz w:val="21"/>
        <w:szCs w:val="21"/>
      </w:rPr>
    </w:lvl>
    <w:lvl w:ilvl="1" w:tentative="0">
      <w:start w:val="1"/>
      <w:numFmt w:val="decimal"/>
      <w:pStyle w:val="49"/>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C8A6D1E5"/>
    <w:multiLevelType w:val="multilevel"/>
    <w:tmpl w:val="C8A6D1E5"/>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21"/>
      <w:suff w:val="nothing"/>
      <w:lvlText w:val="%1.%2.%3.%4　"/>
      <w:lvlJc w:val="left"/>
      <w:pPr>
        <w:tabs>
          <w:tab w:val="left" w:pos="0"/>
        </w:tabs>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E5BDF734"/>
    <w:multiLevelType w:val="singleLevel"/>
    <w:tmpl w:val="E5BDF734"/>
    <w:lvl w:ilvl="0" w:tentative="0">
      <w:start w:val="1"/>
      <w:numFmt w:val="decimal"/>
      <w:lvlText w:val="%1）"/>
      <w:lvlJc w:val="left"/>
      <w:pPr>
        <w:ind w:left="1265" w:hanging="425"/>
      </w:pPr>
      <w:rPr>
        <w:rFonts w:hint="default"/>
      </w:rPr>
    </w:lvl>
  </w:abstractNum>
  <w:abstractNum w:abstractNumId="5">
    <w:nsid w:val="101EBC18"/>
    <w:multiLevelType w:val="singleLevel"/>
    <w:tmpl w:val="101EBC18"/>
    <w:lvl w:ilvl="0" w:tentative="0">
      <w:start w:val="1"/>
      <w:numFmt w:val="lowerLetter"/>
      <w:suff w:val="space"/>
      <w:lvlText w:val="%1）"/>
      <w:lvlJc w:val="left"/>
    </w:lvl>
  </w:abstractNum>
  <w:abstractNum w:abstractNumId="6">
    <w:nsid w:val="59F5E046"/>
    <w:multiLevelType w:val="singleLevel"/>
    <w:tmpl w:val="59F5E046"/>
    <w:lvl w:ilvl="0" w:tentative="0">
      <w:start w:val="1"/>
      <w:numFmt w:val="lowerLetter"/>
      <w:suff w:val="space"/>
      <w:lvlText w:val="%1）"/>
      <w:lvlJc w:val="left"/>
    </w:lvl>
  </w:abstractNum>
  <w:abstractNum w:abstractNumId="7">
    <w:nsid w:val="6278D62F"/>
    <w:multiLevelType w:val="singleLevel"/>
    <w:tmpl w:val="6278D62F"/>
    <w:lvl w:ilvl="0" w:tentative="0">
      <w:start w:val="1"/>
      <w:numFmt w:val="decimal"/>
      <w:suff w:val="nothing"/>
      <w:lvlText w:val="[%1]　"/>
      <w:lvlJc w:val="left"/>
    </w:lvl>
  </w:abstractNum>
  <w:abstractNum w:abstractNumId="8">
    <w:nsid w:val="6880B071"/>
    <w:multiLevelType w:val="singleLevel"/>
    <w:tmpl w:val="6880B071"/>
    <w:lvl w:ilvl="0" w:tentative="0">
      <w:start w:val="1"/>
      <w:numFmt w:val="lowerLetter"/>
      <w:suff w:val="space"/>
      <w:lvlText w:val="%1）"/>
      <w:lvlJc w:val="left"/>
    </w:lvl>
  </w:abstractNum>
  <w:abstractNum w:abstractNumId="9">
    <w:nsid w:val="6AC25856"/>
    <w:multiLevelType w:val="multilevel"/>
    <w:tmpl w:val="6AC25856"/>
    <w:lvl w:ilvl="0" w:tentative="0">
      <w:start w:val="1"/>
      <w:numFmt w:val="lowerLetter"/>
      <w:pStyle w:val="4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9"/>
  </w:num>
  <w:num w:numId="3">
    <w:abstractNumId w:val="0"/>
  </w:num>
  <w:num w:numId="4">
    <w:abstractNumId w:val="2"/>
  </w:num>
  <w:num w:numId="5">
    <w:abstractNumId w:val="5"/>
  </w:num>
  <w:num w:numId="6">
    <w:abstractNumId w:val="4"/>
  </w:num>
  <w:num w:numId="7">
    <w:abstractNumId w:val="6"/>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GQ1Y2YzYzc0MzBlOGI1Y2NlOWQyNDk5YjE3NjEifQ=="/>
  </w:docVars>
  <w:rsids>
    <w:rsidRoot w:val="00000000"/>
    <w:rsid w:val="000A51EB"/>
    <w:rsid w:val="00DA072E"/>
    <w:rsid w:val="01832FEA"/>
    <w:rsid w:val="021251DC"/>
    <w:rsid w:val="0270686F"/>
    <w:rsid w:val="02FB26B6"/>
    <w:rsid w:val="03060F81"/>
    <w:rsid w:val="030A0A85"/>
    <w:rsid w:val="0341020B"/>
    <w:rsid w:val="038A57E4"/>
    <w:rsid w:val="0433253D"/>
    <w:rsid w:val="04446205"/>
    <w:rsid w:val="04940A72"/>
    <w:rsid w:val="04D01847"/>
    <w:rsid w:val="04DF7CDC"/>
    <w:rsid w:val="050114B1"/>
    <w:rsid w:val="05574797"/>
    <w:rsid w:val="058E2590"/>
    <w:rsid w:val="0633208D"/>
    <w:rsid w:val="06677633"/>
    <w:rsid w:val="0721638A"/>
    <w:rsid w:val="078F7797"/>
    <w:rsid w:val="07A54926"/>
    <w:rsid w:val="07DE23FA"/>
    <w:rsid w:val="07E9355D"/>
    <w:rsid w:val="07F95559"/>
    <w:rsid w:val="085E4E22"/>
    <w:rsid w:val="08B05F66"/>
    <w:rsid w:val="08BD6586"/>
    <w:rsid w:val="09630EDC"/>
    <w:rsid w:val="097E4BB9"/>
    <w:rsid w:val="09884AD3"/>
    <w:rsid w:val="09A3577C"/>
    <w:rsid w:val="0A046B64"/>
    <w:rsid w:val="0A5E0832"/>
    <w:rsid w:val="0A713694"/>
    <w:rsid w:val="0A8315E8"/>
    <w:rsid w:val="0B04049C"/>
    <w:rsid w:val="0B291CB1"/>
    <w:rsid w:val="0B4659CE"/>
    <w:rsid w:val="0BDE2A9B"/>
    <w:rsid w:val="0BE81B6C"/>
    <w:rsid w:val="0C7F7469"/>
    <w:rsid w:val="0C9E047D"/>
    <w:rsid w:val="0CC023AC"/>
    <w:rsid w:val="0D274271"/>
    <w:rsid w:val="0D336E17"/>
    <w:rsid w:val="0DAD6BC9"/>
    <w:rsid w:val="0DBE7D67"/>
    <w:rsid w:val="0E1E1875"/>
    <w:rsid w:val="0E572FD9"/>
    <w:rsid w:val="0E68540D"/>
    <w:rsid w:val="0E6B25E0"/>
    <w:rsid w:val="0E6F3E7F"/>
    <w:rsid w:val="0ECC4F77"/>
    <w:rsid w:val="0F42031C"/>
    <w:rsid w:val="0F71790E"/>
    <w:rsid w:val="0F927241"/>
    <w:rsid w:val="0FA61B22"/>
    <w:rsid w:val="0FE31D28"/>
    <w:rsid w:val="0FE97C61"/>
    <w:rsid w:val="10093E5F"/>
    <w:rsid w:val="10B908E8"/>
    <w:rsid w:val="10BE2E9B"/>
    <w:rsid w:val="10D32DE5"/>
    <w:rsid w:val="10E5137A"/>
    <w:rsid w:val="10FD7E17"/>
    <w:rsid w:val="1102192B"/>
    <w:rsid w:val="110330BE"/>
    <w:rsid w:val="11135295"/>
    <w:rsid w:val="116C0B49"/>
    <w:rsid w:val="11880CFD"/>
    <w:rsid w:val="118C7CE1"/>
    <w:rsid w:val="119A7465"/>
    <w:rsid w:val="11BA18B5"/>
    <w:rsid w:val="12154D3D"/>
    <w:rsid w:val="1255782F"/>
    <w:rsid w:val="125B4710"/>
    <w:rsid w:val="127C6F3D"/>
    <w:rsid w:val="12BA7BB1"/>
    <w:rsid w:val="12BE52A0"/>
    <w:rsid w:val="1319648C"/>
    <w:rsid w:val="13421B62"/>
    <w:rsid w:val="13427DB4"/>
    <w:rsid w:val="1352282D"/>
    <w:rsid w:val="136441CE"/>
    <w:rsid w:val="13973CC4"/>
    <w:rsid w:val="14445DAD"/>
    <w:rsid w:val="14A30D26"/>
    <w:rsid w:val="14B96C9B"/>
    <w:rsid w:val="14D94748"/>
    <w:rsid w:val="14E30599"/>
    <w:rsid w:val="150317C5"/>
    <w:rsid w:val="15A5287C"/>
    <w:rsid w:val="15C90318"/>
    <w:rsid w:val="15FF5FFC"/>
    <w:rsid w:val="161A0B74"/>
    <w:rsid w:val="166718EF"/>
    <w:rsid w:val="1668008F"/>
    <w:rsid w:val="16812791"/>
    <w:rsid w:val="16B94831"/>
    <w:rsid w:val="16BE099A"/>
    <w:rsid w:val="16DC22CD"/>
    <w:rsid w:val="16F05D79"/>
    <w:rsid w:val="172A3039"/>
    <w:rsid w:val="176237F0"/>
    <w:rsid w:val="17E913A6"/>
    <w:rsid w:val="181E2303"/>
    <w:rsid w:val="18A62B93"/>
    <w:rsid w:val="18B67417"/>
    <w:rsid w:val="18CA1E97"/>
    <w:rsid w:val="18D3325C"/>
    <w:rsid w:val="194505FE"/>
    <w:rsid w:val="197B097D"/>
    <w:rsid w:val="199D3F96"/>
    <w:rsid w:val="1A1D50D7"/>
    <w:rsid w:val="1A6D4ABE"/>
    <w:rsid w:val="1AA10847"/>
    <w:rsid w:val="1AAE3F81"/>
    <w:rsid w:val="1B0702A6"/>
    <w:rsid w:val="1B223EA8"/>
    <w:rsid w:val="1C3A79A2"/>
    <w:rsid w:val="1D51661C"/>
    <w:rsid w:val="1D6E5A13"/>
    <w:rsid w:val="1DB16F65"/>
    <w:rsid w:val="1E0A7720"/>
    <w:rsid w:val="1E5D0CBB"/>
    <w:rsid w:val="1E5E4A6A"/>
    <w:rsid w:val="1E6C2189"/>
    <w:rsid w:val="1F110861"/>
    <w:rsid w:val="1F26058A"/>
    <w:rsid w:val="1F274B4E"/>
    <w:rsid w:val="1F356A1F"/>
    <w:rsid w:val="1F5570C1"/>
    <w:rsid w:val="1F9E2816"/>
    <w:rsid w:val="1FB74CF6"/>
    <w:rsid w:val="1FBC2C9C"/>
    <w:rsid w:val="1FCC441A"/>
    <w:rsid w:val="1FD86B67"/>
    <w:rsid w:val="1FE67D19"/>
    <w:rsid w:val="20135C1B"/>
    <w:rsid w:val="2040567B"/>
    <w:rsid w:val="208C266E"/>
    <w:rsid w:val="20CE51B6"/>
    <w:rsid w:val="20E97AC1"/>
    <w:rsid w:val="21690B86"/>
    <w:rsid w:val="21844799"/>
    <w:rsid w:val="219914E7"/>
    <w:rsid w:val="219A4F8F"/>
    <w:rsid w:val="21A67760"/>
    <w:rsid w:val="224455F9"/>
    <w:rsid w:val="224F531D"/>
    <w:rsid w:val="23056708"/>
    <w:rsid w:val="239301B8"/>
    <w:rsid w:val="248A3369"/>
    <w:rsid w:val="2536418B"/>
    <w:rsid w:val="25CC33E0"/>
    <w:rsid w:val="260E1D77"/>
    <w:rsid w:val="26917128"/>
    <w:rsid w:val="26CC7C68"/>
    <w:rsid w:val="271E248E"/>
    <w:rsid w:val="2778394C"/>
    <w:rsid w:val="277F117F"/>
    <w:rsid w:val="27934C2A"/>
    <w:rsid w:val="27B626C7"/>
    <w:rsid w:val="282B2D9B"/>
    <w:rsid w:val="28A61CAF"/>
    <w:rsid w:val="28B70993"/>
    <w:rsid w:val="28F811E9"/>
    <w:rsid w:val="294D7958"/>
    <w:rsid w:val="29A0362E"/>
    <w:rsid w:val="29BC5914"/>
    <w:rsid w:val="2AB72193"/>
    <w:rsid w:val="2ACF41CB"/>
    <w:rsid w:val="2AF83D24"/>
    <w:rsid w:val="2B223E4E"/>
    <w:rsid w:val="2B2A751A"/>
    <w:rsid w:val="2B42499D"/>
    <w:rsid w:val="2B555710"/>
    <w:rsid w:val="2B791A12"/>
    <w:rsid w:val="2BE912BD"/>
    <w:rsid w:val="2BEB171C"/>
    <w:rsid w:val="2C071743"/>
    <w:rsid w:val="2C6E275C"/>
    <w:rsid w:val="2C832700"/>
    <w:rsid w:val="2C8E4A32"/>
    <w:rsid w:val="2C974627"/>
    <w:rsid w:val="2CBC1D1A"/>
    <w:rsid w:val="2D960FD0"/>
    <w:rsid w:val="2DB91495"/>
    <w:rsid w:val="2E8C5F2F"/>
    <w:rsid w:val="2E984EEC"/>
    <w:rsid w:val="2EA72D69"/>
    <w:rsid w:val="2EBA2A9C"/>
    <w:rsid w:val="2ECB6A58"/>
    <w:rsid w:val="2EED10C4"/>
    <w:rsid w:val="2EFF6701"/>
    <w:rsid w:val="2F191EB9"/>
    <w:rsid w:val="2F206CA8"/>
    <w:rsid w:val="2F2B74F6"/>
    <w:rsid w:val="2F5D3AF9"/>
    <w:rsid w:val="2F7E1D1C"/>
    <w:rsid w:val="2F927575"/>
    <w:rsid w:val="2FD46965"/>
    <w:rsid w:val="300D4E4E"/>
    <w:rsid w:val="301F34FF"/>
    <w:rsid w:val="30202DD3"/>
    <w:rsid w:val="3072727C"/>
    <w:rsid w:val="30801AC4"/>
    <w:rsid w:val="30837A14"/>
    <w:rsid w:val="308B0B94"/>
    <w:rsid w:val="30CB557B"/>
    <w:rsid w:val="30F32296"/>
    <w:rsid w:val="311A3CC6"/>
    <w:rsid w:val="311F12DD"/>
    <w:rsid w:val="31584FB6"/>
    <w:rsid w:val="31E61302"/>
    <w:rsid w:val="32537490"/>
    <w:rsid w:val="3272469C"/>
    <w:rsid w:val="33250631"/>
    <w:rsid w:val="33AF6948"/>
    <w:rsid w:val="33D175A2"/>
    <w:rsid w:val="33F97BC3"/>
    <w:rsid w:val="34506A44"/>
    <w:rsid w:val="34C12DD7"/>
    <w:rsid w:val="34C74165"/>
    <w:rsid w:val="355F7EFA"/>
    <w:rsid w:val="365C49CB"/>
    <w:rsid w:val="36C83A63"/>
    <w:rsid w:val="374E69B0"/>
    <w:rsid w:val="375A306E"/>
    <w:rsid w:val="378211A5"/>
    <w:rsid w:val="378A5B0E"/>
    <w:rsid w:val="38037E5A"/>
    <w:rsid w:val="380700D4"/>
    <w:rsid w:val="38291C55"/>
    <w:rsid w:val="3838181B"/>
    <w:rsid w:val="38511EE5"/>
    <w:rsid w:val="3860144A"/>
    <w:rsid w:val="38AD6266"/>
    <w:rsid w:val="38C60291"/>
    <w:rsid w:val="39317DFF"/>
    <w:rsid w:val="3951684D"/>
    <w:rsid w:val="396106E4"/>
    <w:rsid w:val="39B60304"/>
    <w:rsid w:val="3AC568A1"/>
    <w:rsid w:val="3ACA050B"/>
    <w:rsid w:val="3BDD601C"/>
    <w:rsid w:val="3BEC625F"/>
    <w:rsid w:val="3C08753D"/>
    <w:rsid w:val="3CC354EE"/>
    <w:rsid w:val="3CF90C34"/>
    <w:rsid w:val="3D5E4F3B"/>
    <w:rsid w:val="3D89020A"/>
    <w:rsid w:val="3D9372DA"/>
    <w:rsid w:val="3DB741C7"/>
    <w:rsid w:val="3E3F47A6"/>
    <w:rsid w:val="3ECA7D3F"/>
    <w:rsid w:val="3EED420A"/>
    <w:rsid w:val="3F9A7D69"/>
    <w:rsid w:val="3FA90ACB"/>
    <w:rsid w:val="3FF027C2"/>
    <w:rsid w:val="3FF676AC"/>
    <w:rsid w:val="404E1192"/>
    <w:rsid w:val="40646D0C"/>
    <w:rsid w:val="40692574"/>
    <w:rsid w:val="40D55514"/>
    <w:rsid w:val="40DC2D46"/>
    <w:rsid w:val="40F549F7"/>
    <w:rsid w:val="410202BD"/>
    <w:rsid w:val="414B3510"/>
    <w:rsid w:val="417C1E33"/>
    <w:rsid w:val="41807B75"/>
    <w:rsid w:val="423821FE"/>
    <w:rsid w:val="42DC527F"/>
    <w:rsid w:val="43301127"/>
    <w:rsid w:val="43BC29BB"/>
    <w:rsid w:val="43C20D21"/>
    <w:rsid w:val="43CA332A"/>
    <w:rsid w:val="43D16E40"/>
    <w:rsid w:val="448259B3"/>
    <w:rsid w:val="44FA6CCA"/>
    <w:rsid w:val="44FC0764"/>
    <w:rsid w:val="4504461A"/>
    <w:rsid w:val="451531B5"/>
    <w:rsid w:val="45230F44"/>
    <w:rsid w:val="452F78E8"/>
    <w:rsid w:val="45DB1A12"/>
    <w:rsid w:val="4646138E"/>
    <w:rsid w:val="464F2154"/>
    <w:rsid w:val="46715CDF"/>
    <w:rsid w:val="46AC4F69"/>
    <w:rsid w:val="46B8390E"/>
    <w:rsid w:val="476C2551"/>
    <w:rsid w:val="47841A42"/>
    <w:rsid w:val="47DE73A4"/>
    <w:rsid w:val="47F35500"/>
    <w:rsid w:val="485E04E5"/>
    <w:rsid w:val="485F6737"/>
    <w:rsid w:val="487B178B"/>
    <w:rsid w:val="48AE4FC8"/>
    <w:rsid w:val="48B63E7D"/>
    <w:rsid w:val="48BA65C4"/>
    <w:rsid w:val="48DC521B"/>
    <w:rsid w:val="48F84495"/>
    <w:rsid w:val="493C25D4"/>
    <w:rsid w:val="499A379E"/>
    <w:rsid w:val="49DB33E8"/>
    <w:rsid w:val="4A264ABA"/>
    <w:rsid w:val="4B196BF9"/>
    <w:rsid w:val="4B7B5326"/>
    <w:rsid w:val="4BCF3BD3"/>
    <w:rsid w:val="4C0013B8"/>
    <w:rsid w:val="4C357C73"/>
    <w:rsid w:val="4C4F0870"/>
    <w:rsid w:val="4C783C43"/>
    <w:rsid w:val="4D117C43"/>
    <w:rsid w:val="4D2F5B84"/>
    <w:rsid w:val="4D3B54F3"/>
    <w:rsid w:val="4D44220B"/>
    <w:rsid w:val="4D4C4DB0"/>
    <w:rsid w:val="4DA80305"/>
    <w:rsid w:val="4E2A684F"/>
    <w:rsid w:val="4E38454F"/>
    <w:rsid w:val="4E481A1B"/>
    <w:rsid w:val="4E5456AD"/>
    <w:rsid w:val="4E90542A"/>
    <w:rsid w:val="4E9B7D9D"/>
    <w:rsid w:val="4EB87862"/>
    <w:rsid w:val="4F0E1F8A"/>
    <w:rsid w:val="4F2265E3"/>
    <w:rsid w:val="4F35568B"/>
    <w:rsid w:val="4F361072"/>
    <w:rsid w:val="4F4414E1"/>
    <w:rsid w:val="4F5F0DCA"/>
    <w:rsid w:val="4F7C7BCE"/>
    <w:rsid w:val="4F8C3B89"/>
    <w:rsid w:val="4FA23309"/>
    <w:rsid w:val="50067498"/>
    <w:rsid w:val="501E2A33"/>
    <w:rsid w:val="50437E89"/>
    <w:rsid w:val="504D3381"/>
    <w:rsid w:val="50DD469C"/>
    <w:rsid w:val="51065298"/>
    <w:rsid w:val="51112598"/>
    <w:rsid w:val="514079F2"/>
    <w:rsid w:val="51AE428B"/>
    <w:rsid w:val="51E25CE3"/>
    <w:rsid w:val="51F067FF"/>
    <w:rsid w:val="51FA2E37"/>
    <w:rsid w:val="525070F0"/>
    <w:rsid w:val="52A8453E"/>
    <w:rsid w:val="52B4767F"/>
    <w:rsid w:val="532F6D06"/>
    <w:rsid w:val="533F6A4C"/>
    <w:rsid w:val="53514ECE"/>
    <w:rsid w:val="539D0113"/>
    <w:rsid w:val="53CC27A6"/>
    <w:rsid w:val="545317BB"/>
    <w:rsid w:val="54710C43"/>
    <w:rsid w:val="54E31887"/>
    <w:rsid w:val="550541C2"/>
    <w:rsid w:val="551E2E50"/>
    <w:rsid w:val="55241A34"/>
    <w:rsid w:val="55AD3E7A"/>
    <w:rsid w:val="55F024A5"/>
    <w:rsid w:val="56717635"/>
    <w:rsid w:val="569C19C2"/>
    <w:rsid w:val="56B215F3"/>
    <w:rsid w:val="56F014EE"/>
    <w:rsid w:val="57272B15"/>
    <w:rsid w:val="575B456D"/>
    <w:rsid w:val="577869B3"/>
    <w:rsid w:val="58A774C4"/>
    <w:rsid w:val="58FD3402"/>
    <w:rsid w:val="59745DBA"/>
    <w:rsid w:val="59981AA8"/>
    <w:rsid w:val="599B3347"/>
    <w:rsid w:val="59B51B1C"/>
    <w:rsid w:val="59C04B5B"/>
    <w:rsid w:val="59D6437F"/>
    <w:rsid w:val="5AA529A1"/>
    <w:rsid w:val="5ADE798F"/>
    <w:rsid w:val="5B4672E2"/>
    <w:rsid w:val="5B8F2A37"/>
    <w:rsid w:val="5C3E620B"/>
    <w:rsid w:val="5C514191"/>
    <w:rsid w:val="5C621EFA"/>
    <w:rsid w:val="5C8A7944"/>
    <w:rsid w:val="5C9255E4"/>
    <w:rsid w:val="5CAE05F8"/>
    <w:rsid w:val="5CC54506"/>
    <w:rsid w:val="5CEE5E83"/>
    <w:rsid w:val="5D107BA8"/>
    <w:rsid w:val="5D1E0517"/>
    <w:rsid w:val="5D2850E5"/>
    <w:rsid w:val="5D33519C"/>
    <w:rsid w:val="5D577585"/>
    <w:rsid w:val="5D617A99"/>
    <w:rsid w:val="5D9A3915"/>
    <w:rsid w:val="5DC05595"/>
    <w:rsid w:val="5DC3772A"/>
    <w:rsid w:val="5DF179D9"/>
    <w:rsid w:val="5E006433"/>
    <w:rsid w:val="5E6D224E"/>
    <w:rsid w:val="5E9662CF"/>
    <w:rsid w:val="5EF24309"/>
    <w:rsid w:val="5F304531"/>
    <w:rsid w:val="5F7D704B"/>
    <w:rsid w:val="60C03693"/>
    <w:rsid w:val="60C70EC5"/>
    <w:rsid w:val="612D013D"/>
    <w:rsid w:val="614E09AF"/>
    <w:rsid w:val="61781F06"/>
    <w:rsid w:val="61EF3C1A"/>
    <w:rsid w:val="62145A44"/>
    <w:rsid w:val="623C4AC4"/>
    <w:rsid w:val="62483940"/>
    <w:rsid w:val="624A590A"/>
    <w:rsid w:val="625E13B5"/>
    <w:rsid w:val="62814C8E"/>
    <w:rsid w:val="62A152F8"/>
    <w:rsid w:val="63387E58"/>
    <w:rsid w:val="6367429A"/>
    <w:rsid w:val="63AA238E"/>
    <w:rsid w:val="63E42ACD"/>
    <w:rsid w:val="63E541F4"/>
    <w:rsid w:val="642D7291"/>
    <w:rsid w:val="647B4A42"/>
    <w:rsid w:val="647E0BAA"/>
    <w:rsid w:val="64867B99"/>
    <w:rsid w:val="649966D5"/>
    <w:rsid w:val="650D4D02"/>
    <w:rsid w:val="6612673F"/>
    <w:rsid w:val="664B39FF"/>
    <w:rsid w:val="6686008C"/>
    <w:rsid w:val="66882EA5"/>
    <w:rsid w:val="66E77BCB"/>
    <w:rsid w:val="66F875CA"/>
    <w:rsid w:val="67193AFD"/>
    <w:rsid w:val="673F21F8"/>
    <w:rsid w:val="675418E4"/>
    <w:rsid w:val="67CE2B39"/>
    <w:rsid w:val="67E20393"/>
    <w:rsid w:val="683F3A37"/>
    <w:rsid w:val="68756BE6"/>
    <w:rsid w:val="688431F8"/>
    <w:rsid w:val="692544AC"/>
    <w:rsid w:val="69770C2A"/>
    <w:rsid w:val="69CB37D4"/>
    <w:rsid w:val="69D81A4D"/>
    <w:rsid w:val="69EE301F"/>
    <w:rsid w:val="69F61ED3"/>
    <w:rsid w:val="6A6D03E7"/>
    <w:rsid w:val="6A726F41"/>
    <w:rsid w:val="6ABC1FE6"/>
    <w:rsid w:val="6B162E05"/>
    <w:rsid w:val="6BD0495B"/>
    <w:rsid w:val="6BD821D8"/>
    <w:rsid w:val="6BDF3567"/>
    <w:rsid w:val="6C1D1826"/>
    <w:rsid w:val="6C9A123C"/>
    <w:rsid w:val="6C9D28A7"/>
    <w:rsid w:val="6CEB1A97"/>
    <w:rsid w:val="6D3D187A"/>
    <w:rsid w:val="6D400035"/>
    <w:rsid w:val="6E4C47B8"/>
    <w:rsid w:val="6E761835"/>
    <w:rsid w:val="6ECE1671"/>
    <w:rsid w:val="6F12155D"/>
    <w:rsid w:val="6F173018"/>
    <w:rsid w:val="6F1E7E0E"/>
    <w:rsid w:val="6F2562BF"/>
    <w:rsid w:val="6F775F24"/>
    <w:rsid w:val="6FAA5C3A"/>
    <w:rsid w:val="70117A67"/>
    <w:rsid w:val="705838E8"/>
    <w:rsid w:val="705F171E"/>
    <w:rsid w:val="70910BA8"/>
    <w:rsid w:val="70952446"/>
    <w:rsid w:val="713878EC"/>
    <w:rsid w:val="718304F0"/>
    <w:rsid w:val="71B7100B"/>
    <w:rsid w:val="71C21E2A"/>
    <w:rsid w:val="722E4900"/>
    <w:rsid w:val="727B72D2"/>
    <w:rsid w:val="72AC3B1C"/>
    <w:rsid w:val="72C9287B"/>
    <w:rsid w:val="73BC5F3C"/>
    <w:rsid w:val="73CD1EF7"/>
    <w:rsid w:val="74D55507"/>
    <w:rsid w:val="74EB3CA8"/>
    <w:rsid w:val="75157FF9"/>
    <w:rsid w:val="755F74C6"/>
    <w:rsid w:val="761924FD"/>
    <w:rsid w:val="7642029A"/>
    <w:rsid w:val="76733229"/>
    <w:rsid w:val="768D3BBF"/>
    <w:rsid w:val="77571C13"/>
    <w:rsid w:val="77752FD1"/>
    <w:rsid w:val="77955421"/>
    <w:rsid w:val="783B1B25"/>
    <w:rsid w:val="786346E0"/>
    <w:rsid w:val="7AAD2B01"/>
    <w:rsid w:val="7AC71313"/>
    <w:rsid w:val="7AF10BC1"/>
    <w:rsid w:val="7B046B46"/>
    <w:rsid w:val="7B203254"/>
    <w:rsid w:val="7BD54A1F"/>
    <w:rsid w:val="7C0262E2"/>
    <w:rsid w:val="7C417926"/>
    <w:rsid w:val="7C765821"/>
    <w:rsid w:val="7C7A6994"/>
    <w:rsid w:val="7C7E51E8"/>
    <w:rsid w:val="7C8810B1"/>
    <w:rsid w:val="7D0A5F6A"/>
    <w:rsid w:val="7D311748"/>
    <w:rsid w:val="7D586784"/>
    <w:rsid w:val="7DA61899"/>
    <w:rsid w:val="7DBB7604"/>
    <w:rsid w:val="7DE62533"/>
    <w:rsid w:val="7DE642E1"/>
    <w:rsid w:val="7E132BFC"/>
    <w:rsid w:val="7E3B7FEE"/>
    <w:rsid w:val="7E8D0C00"/>
    <w:rsid w:val="7E925766"/>
    <w:rsid w:val="7E980C67"/>
    <w:rsid w:val="7EC37819"/>
    <w:rsid w:val="7F01514B"/>
    <w:rsid w:val="7F333489"/>
    <w:rsid w:val="7F576C64"/>
    <w:rsid w:val="7F5E434B"/>
    <w:rsid w:val="7F857B2A"/>
    <w:rsid w:val="7FC93E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widowControl/>
      <w:spacing w:line="384" w:lineRule="exact"/>
      <w:ind w:right="-364" w:rightChars="-364"/>
    </w:pPr>
    <w:rPr>
      <w:rFonts w:ascii="宋体" w:hAnsi="宋体" w:eastAsia="宋体" w:cs="宋体"/>
      <w:szCs w:val="21"/>
      <w:lang w:val="ca-ES" w:eastAsia="ca-ES" w:bidi="ca-ES"/>
    </w:rPr>
  </w:style>
  <w:style w:type="paragraph" w:styleId="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5">
    <w:name w:val="annotation text"/>
    <w:basedOn w:val="1"/>
    <w:qFormat/>
    <w:uiPriority w:val="0"/>
    <w:pPr>
      <w:jc w:val="left"/>
    </w:pPr>
  </w:style>
  <w:style w:type="paragraph" w:styleId="6">
    <w:name w:val="Body Text 3"/>
    <w:basedOn w:val="1"/>
    <w:qFormat/>
    <w:uiPriority w:val="0"/>
    <w:pPr>
      <w:spacing w:after="120" w:afterLines="0" w:afterAutospacing="0"/>
    </w:pPr>
    <w:rPr>
      <w:sz w:val="16"/>
    </w:rPr>
  </w:style>
  <w:style w:type="paragraph" w:styleId="7">
    <w:name w:val="toc 3"/>
    <w:basedOn w:val="1"/>
    <w:next w:val="1"/>
    <w:qFormat/>
    <w:uiPriority w:val="0"/>
    <w:pPr>
      <w:ind w:left="840" w:leftChars="400"/>
    </w:pPr>
  </w:style>
  <w:style w:type="paragraph" w:styleId="8">
    <w:name w:val="footer"/>
    <w:basedOn w:val="1"/>
    <w:qFormat/>
    <w:uiPriority w:val="0"/>
    <w:pPr>
      <w:snapToGrid w:val="0"/>
      <w:ind w:right="210" w:rightChars="100"/>
      <w:jc w:val="righ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semiHidden/>
    <w:qFormat/>
    <w:uiPriority w:val="0"/>
    <w:pPr>
      <w:tabs>
        <w:tab w:val="right" w:leader="dot" w:pos="9242"/>
      </w:tabs>
      <w:spacing w:beforeLines="25" w:afterLines="25"/>
      <w:jc w:val="left"/>
    </w:pPr>
    <w:rPr>
      <w:rFonts w:ascii="宋体"/>
      <w:szCs w:val="21"/>
    </w:rPr>
  </w:style>
  <w:style w:type="paragraph" w:styleId="11">
    <w:name w:val="toc 4"/>
    <w:basedOn w:val="1"/>
    <w:next w:val="1"/>
    <w:qFormat/>
    <w:uiPriority w:val="0"/>
    <w:pPr>
      <w:ind w:left="1260" w:leftChars="600"/>
    </w:pPr>
  </w:style>
  <w:style w:type="paragraph" w:styleId="12">
    <w:name w:val="toc 2"/>
    <w:basedOn w:val="10"/>
    <w:next w:val="1"/>
    <w:semiHidden/>
    <w:qFormat/>
    <w:uiPriority w:val="0"/>
    <w:rPr>
      <w:rFonts w:ascii="宋体"/>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章标题"/>
    <w:next w:val="17"/>
    <w:qFormat/>
    <w:uiPriority w:val="0"/>
    <w:pPr>
      <w:numPr>
        <w:ilvl w:val="0"/>
        <w:numId w:val="1"/>
      </w:numPr>
      <w:spacing w:before="100" w:beforeLines="100" w:after="100" w:afterLines="100"/>
      <w:jc w:val="both"/>
      <w:outlineLvl w:val="1"/>
    </w:pPr>
    <w:rPr>
      <w:rFonts w:ascii="黑体" w:hAnsi="黑体" w:eastAsia="黑体" w:cs="Times New Roman"/>
      <w:sz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8">
    <w:name w:val="一级条标题"/>
    <w:next w:val="17"/>
    <w:link w:val="19"/>
    <w:qFormat/>
    <w:uiPriority w:val="0"/>
    <w:pPr>
      <w:numPr>
        <w:ilvl w:val="1"/>
        <w:numId w:val="1"/>
      </w:numPr>
      <w:spacing w:before="50" w:beforeLines="50" w:after="50" w:afterLines="50"/>
      <w:outlineLvl w:val="2"/>
    </w:pPr>
    <w:rPr>
      <w:rFonts w:ascii="黑体" w:hAnsi="黑体" w:eastAsia="黑体" w:cs="Times New Roman"/>
      <w:sz w:val="21"/>
      <w:szCs w:val="21"/>
      <w:lang w:val="en-US" w:eastAsia="zh-CN" w:bidi="ar-SA"/>
    </w:rPr>
  </w:style>
  <w:style w:type="character" w:customStyle="1" w:styleId="19">
    <w:name w:val="一级条标题 Char"/>
    <w:link w:val="18"/>
    <w:qFormat/>
    <w:uiPriority w:val="0"/>
    <w:rPr>
      <w:rFonts w:ascii="黑体" w:hAnsi="黑体" w:eastAsia="黑体" w:cs="Times New Roman"/>
      <w:sz w:val="21"/>
      <w:szCs w:val="21"/>
      <w:lang w:val="en-US" w:eastAsia="zh-CN" w:bidi="ar-SA"/>
    </w:rPr>
  </w:style>
  <w:style w:type="paragraph" w:customStyle="1" w:styleId="20">
    <w:name w:val="二级条标题"/>
    <w:basedOn w:val="18"/>
    <w:next w:val="17"/>
    <w:qFormat/>
    <w:uiPriority w:val="0"/>
    <w:pPr>
      <w:numPr>
        <w:ilvl w:val="2"/>
      </w:numPr>
      <w:tabs>
        <w:tab w:val="left" w:pos="0"/>
      </w:tabs>
      <w:spacing w:before="50" w:after="50"/>
      <w:ind w:left="0" w:firstLine="0"/>
      <w:outlineLvl w:val="3"/>
    </w:pPr>
    <w:rPr>
      <w:rFonts w:ascii="黑体" w:hAnsi="黑体" w:eastAsia="黑体"/>
      <w:sz w:val="21"/>
      <w:szCs w:val="21"/>
      <w:lang w:val="en-US" w:eastAsia="zh-CN" w:bidi="ar-SA"/>
    </w:rPr>
  </w:style>
  <w:style w:type="paragraph" w:customStyle="1" w:styleId="21">
    <w:name w:val="三级条标题"/>
    <w:basedOn w:val="20"/>
    <w:next w:val="17"/>
    <w:qFormat/>
    <w:uiPriority w:val="0"/>
    <w:pPr>
      <w:numPr>
        <w:ilvl w:val="3"/>
      </w:numPr>
      <w:ind w:left="0"/>
      <w:outlineLvl w:val="4"/>
    </w:pPr>
    <w:rPr>
      <w:rFonts w:ascii="黑体" w:hAnsi="黑体" w:eastAsia="黑体"/>
      <w:sz w:val="21"/>
      <w:szCs w:val="21"/>
      <w:lang w:val="en-US" w:eastAsia="zh-CN" w:bidi="ar-SA"/>
    </w:rPr>
  </w:style>
  <w:style w:type="paragraph" w:customStyle="1" w:styleId="2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3">
    <w:name w:val="其他标准标志"/>
    <w:basedOn w:val="24"/>
    <w:qFormat/>
    <w:uiPriority w:val="0"/>
    <w:pPr>
      <w:framePr w:w="6101" w:vAnchor="page" w:hAnchor="page" w:x="4673" w:y="942"/>
    </w:pPr>
    <w:rPr>
      <w:w w:val="130"/>
    </w:rPr>
  </w:style>
  <w:style w:type="paragraph" w:customStyle="1" w:styleId="2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5">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26">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27">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2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9">
    <w:name w:val="封面标准英文名称"/>
    <w:basedOn w:val="28"/>
    <w:qFormat/>
    <w:uiPriority w:val="0"/>
    <w:pPr>
      <w:spacing w:before="370" w:line="400" w:lineRule="exact"/>
    </w:pPr>
    <w:rPr>
      <w:rFonts w:ascii="Times New Roman"/>
      <w:sz w:val="28"/>
      <w:szCs w:val="28"/>
    </w:rPr>
  </w:style>
  <w:style w:type="paragraph" w:customStyle="1" w:styleId="30">
    <w:name w:val="封面一致性程度标识"/>
    <w:basedOn w:val="29"/>
    <w:qFormat/>
    <w:uiPriority w:val="0"/>
    <w:pPr>
      <w:spacing w:before="440"/>
    </w:pPr>
    <w:rPr>
      <w:rFonts w:ascii="宋体" w:eastAsia="宋体"/>
    </w:rPr>
  </w:style>
  <w:style w:type="paragraph" w:customStyle="1" w:styleId="31">
    <w:name w:val="封面标准文稿类别"/>
    <w:basedOn w:val="30"/>
    <w:qFormat/>
    <w:uiPriority w:val="0"/>
    <w:pPr>
      <w:spacing w:after="160" w:line="240" w:lineRule="auto"/>
    </w:pPr>
    <w:rPr>
      <w:sz w:val="24"/>
    </w:rPr>
  </w:style>
  <w:style w:type="paragraph" w:customStyle="1" w:styleId="32">
    <w:name w:val="封面标准文稿编辑信息"/>
    <w:basedOn w:val="31"/>
    <w:qFormat/>
    <w:uiPriority w:val="0"/>
    <w:pPr>
      <w:spacing w:before="180" w:line="180" w:lineRule="exact"/>
    </w:pPr>
    <w:rPr>
      <w:sz w:val="21"/>
    </w:rPr>
  </w:style>
  <w:style w:type="paragraph" w:customStyle="1" w:styleId="33">
    <w:name w:val="其他发布日期"/>
    <w:basedOn w:val="34"/>
    <w:qFormat/>
    <w:uiPriority w:val="0"/>
    <w:pPr>
      <w:framePr w:vAnchor="page" w:hAnchor="text" w:x="1419"/>
    </w:pPr>
  </w:style>
  <w:style w:type="paragraph" w:customStyle="1" w:styleId="34">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35">
    <w:name w:val="其他实施日期"/>
    <w:basedOn w:val="36"/>
    <w:qFormat/>
    <w:uiPriority w:val="0"/>
  </w:style>
  <w:style w:type="paragraph" w:customStyle="1" w:styleId="36">
    <w:name w:val="实施日期"/>
    <w:basedOn w:val="34"/>
    <w:qFormat/>
    <w:uiPriority w:val="0"/>
    <w:pPr>
      <w:framePr w:vAnchor="page" w:hAnchor="text"/>
      <w:jc w:val="right"/>
    </w:pPr>
  </w:style>
  <w:style w:type="paragraph" w:customStyle="1" w:styleId="37">
    <w:name w:val="其他发布部门"/>
    <w:basedOn w:val="38"/>
    <w:qFormat/>
    <w:uiPriority w:val="0"/>
    <w:pPr>
      <w:framePr w:y="15310"/>
      <w:spacing w:line="0" w:lineRule="atLeast"/>
    </w:pPr>
    <w:rPr>
      <w:rFonts w:ascii="黑体" w:eastAsia="黑体"/>
      <w:b w:val="0"/>
    </w:rPr>
  </w:style>
  <w:style w:type="paragraph" w:customStyle="1" w:styleId="38">
    <w:name w:val="发布部门"/>
    <w:next w:val="17"/>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40">
    <w:name w:val="标准书眉_偶数页"/>
    <w:basedOn w:val="39"/>
    <w:next w:val="1"/>
    <w:qFormat/>
    <w:uiPriority w:val="0"/>
    <w:pPr>
      <w:jc w:val="left"/>
    </w:pPr>
  </w:style>
  <w:style w:type="paragraph" w:customStyle="1" w:styleId="41">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42">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43">
    <w:name w:val="参考文献"/>
    <w:basedOn w:val="1"/>
    <w:next w:val="1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44">
    <w:name w:val="终结线"/>
    <w:basedOn w:val="1"/>
    <w:qFormat/>
    <w:uiPriority w:val="0"/>
    <w:pPr>
      <w:framePr w:hSpace="181" w:vSpace="181" w:wrap="around" w:vAnchor="text" w:hAnchor="margin" w:xAlign="center" w:y="285"/>
    </w:pPr>
  </w:style>
  <w:style w:type="paragraph" w:customStyle="1" w:styleId="45">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6">
    <w:name w:val="一级附录"/>
    <w:basedOn w:val="1"/>
    <w:link w:val="47"/>
    <w:qFormat/>
    <w:uiPriority w:val="0"/>
    <w:pPr>
      <w:numPr>
        <w:ilvl w:val="0"/>
        <w:numId w:val="3"/>
      </w:numPr>
      <w:ind w:left="432" w:hanging="432"/>
      <w:jc w:val="center"/>
    </w:pPr>
    <w:rPr>
      <w:rFonts w:ascii="Calibri" w:hAnsi="Calibri" w:eastAsia="黑体"/>
      <w:color w:val="000000"/>
    </w:rPr>
  </w:style>
  <w:style w:type="character" w:customStyle="1" w:styleId="47">
    <w:name w:val="一级附录 Char"/>
    <w:link w:val="46"/>
    <w:qFormat/>
    <w:uiPriority w:val="0"/>
    <w:rPr>
      <w:rFonts w:ascii="Calibri" w:hAnsi="Calibri" w:eastAsia="黑体"/>
      <w:color w:val="000000"/>
    </w:rPr>
  </w:style>
  <w:style w:type="paragraph" w:customStyle="1" w:styleId="48">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49">
    <w:name w:val="二级附录"/>
    <w:basedOn w:val="6"/>
    <w:qFormat/>
    <w:uiPriority w:val="0"/>
    <w:pPr>
      <w:numPr>
        <w:ilvl w:val="1"/>
        <w:numId w:val="4"/>
      </w:numPr>
      <w:ind w:left="575" w:hanging="575"/>
    </w:pPr>
    <w:rPr>
      <w:rFonts w:hint="default"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8.wmf"/><Relationship Id="rId31" Type="http://schemas.openxmlformats.org/officeDocument/2006/relationships/oleObject" Target="embeddings/oleObject7.bin"/><Relationship Id="rId30" Type="http://schemas.openxmlformats.org/officeDocument/2006/relationships/image" Target="media/image7.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6.wmf"/><Relationship Id="rId27" Type="http://schemas.openxmlformats.org/officeDocument/2006/relationships/oleObject" Target="embeddings/oleObject5.bin"/><Relationship Id="rId26" Type="http://schemas.openxmlformats.org/officeDocument/2006/relationships/image" Target="media/image5.wmf"/><Relationship Id="rId25" Type="http://schemas.openxmlformats.org/officeDocument/2006/relationships/oleObject" Target="embeddings/oleObject4.bin"/><Relationship Id="rId24" Type="http://schemas.openxmlformats.org/officeDocument/2006/relationships/image" Target="media/image4.wmf"/><Relationship Id="rId23" Type="http://schemas.openxmlformats.org/officeDocument/2006/relationships/oleObject" Target="embeddings/oleObject3.bin"/><Relationship Id="rId22" Type="http://schemas.openxmlformats.org/officeDocument/2006/relationships/image" Target="media/image3.wmf"/><Relationship Id="rId21" Type="http://schemas.openxmlformats.org/officeDocument/2006/relationships/oleObject" Target="embeddings/oleObject2.bin"/><Relationship Id="rId20" Type="http://schemas.openxmlformats.org/officeDocument/2006/relationships/image" Target="media/image2.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4485</Words>
  <Characters>4937</Characters>
  <Lines>0</Lines>
  <Paragraphs>0</Paragraphs>
  <TotalTime>6</TotalTime>
  <ScaleCrop>false</ScaleCrop>
  <LinksUpToDate>false</LinksUpToDate>
  <CharactersWithSpaces>5113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2022-11-01T00:39:00Z</dcterms:created>
  <dc:creator>TOSHIBA</dc:creator>
  <cp:lastModifiedBy>王美琦</cp:lastModifiedBy>
  <dcterms:modified xsi:type="dcterms:W3CDTF">2025-03-30T09:08:02Z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CD1F897CA50E44C2878536DD8920B2DF_13</vt:lpwstr>
  </property>
  <property fmtid="{D5CDD505-2E9C-101B-9397-08002B2CF9AE}" pid="4" name="KSOTemplateDocerSaveRecord">
    <vt:lpwstr>eyJoZGlkIjoiMjZlNTNjMWZiNmQ3Yzg0NDkzMjVhNTM5OTZjMWJmYTgiLCJ1c2VySWQiOiIzNDA5NzkzNTEifQ==</vt:lpwstr>
  </property>
</Properties>
</file>